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2C12BF" w:rsidRDefault="00DB1DAD">
      <w:pPr>
        <w:rPr>
          <w:rFonts w:ascii="Palatino Linotype" w:eastAsia="Palatino Linotype" w:hAnsi="Palatino Linotype" w:cs="Palatino Linotype"/>
          <w:b/>
        </w:rPr>
      </w:pPr>
      <w:r>
        <w:rPr>
          <w:rFonts w:ascii="Palatino Linotype" w:eastAsia="Palatino Linotype" w:hAnsi="Palatino Linotype" w:cs="Palatino Linotype"/>
          <w:b/>
        </w:rPr>
        <w:t>ПРИЛОЖЕНИЕ № 1</w:t>
      </w:r>
    </w:p>
    <w:p w14:paraId="00000002" w14:textId="77777777" w:rsidR="002C12BF" w:rsidRDefault="00DB1DAD">
      <w:pPr>
        <w:rPr>
          <w:rFonts w:ascii="Palatino Linotype" w:eastAsia="Palatino Linotype" w:hAnsi="Palatino Linotype" w:cs="Palatino Linotype"/>
          <w:b/>
        </w:rPr>
      </w:pPr>
      <w:r>
        <w:rPr>
          <w:rFonts w:ascii="Palatino Linotype" w:eastAsia="Palatino Linotype" w:hAnsi="Palatino Linotype" w:cs="Palatino Linotype"/>
          <w:b/>
        </w:rPr>
        <w:t>ПРАВНО-НОРМАТИВНА РАМКА НА ЕВРОПЕЙСКО, НАЦИОНАЛНО И МЕСТНО НИВО.</w:t>
      </w:r>
    </w:p>
    <w:p w14:paraId="00000003" w14:textId="77777777" w:rsidR="002C12BF" w:rsidRDefault="00DB1DAD">
      <w:pPr>
        <w:jc w:val="both"/>
        <w:rPr>
          <w:rFonts w:ascii="Palatino Linotype" w:eastAsia="Palatino Linotype" w:hAnsi="Palatino Linotype" w:cs="Palatino Linotype"/>
        </w:rPr>
      </w:pPr>
      <w:r>
        <w:rPr>
          <w:rFonts w:ascii="Palatino Linotype" w:eastAsia="Palatino Linotype" w:hAnsi="Palatino Linotype" w:cs="Palatino Linotype"/>
        </w:rPr>
        <w:t>Един от приоритетите на ЕС е кръговата икономика, екологосъобразно възстановяване, смекчаване на последиците от изменението на климата, енергоспестяване, опазване на биологичното разнообразие и глобални усилия за устойчиво развитие. През 2015 г., Европейската комисия прие амбициозен план за действие за кръговата икономика. Тя обяви 54 мерки в рамките на целия жизнен цикъл на продуктите, за да се ускори преходът на ЕС към кръгова икономика. Всички тези мерки бяха приети.</w:t>
      </w:r>
    </w:p>
    <w:p w14:paraId="00000004" w14:textId="77777777" w:rsidR="002C12BF" w:rsidRDefault="00DB1DAD">
      <w:pPr>
        <w:jc w:val="both"/>
        <w:rPr>
          <w:rFonts w:ascii="Palatino Linotype" w:eastAsia="Palatino Linotype" w:hAnsi="Palatino Linotype" w:cs="Palatino Linotype"/>
        </w:rPr>
      </w:pPr>
      <w:r>
        <w:rPr>
          <w:rFonts w:ascii="Palatino Linotype" w:eastAsia="Palatino Linotype" w:hAnsi="Palatino Linotype" w:cs="Palatino Linotype"/>
        </w:rPr>
        <w:t xml:space="preserve">През 2018 г. влезе в сила и преразгледаният законодателен акт на ЕС за отпадъците. С него бяха определени ясни цели по отношение на рециклирането и дългосрочен план за съвременно управление на отпадъците. Това включва: </w:t>
      </w:r>
    </w:p>
    <w:p w14:paraId="00000005" w14:textId="77777777" w:rsidR="002C12BF" w:rsidRDefault="00DB1DAD" w:rsidP="00F83D08">
      <w:pPr>
        <w:spacing w:after="0"/>
        <w:jc w:val="both"/>
        <w:rPr>
          <w:rFonts w:ascii="Palatino Linotype" w:eastAsia="Palatino Linotype" w:hAnsi="Palatino Linotype" w:cs="Palatino Linotype"/>
        </w:rPr>
      </w:pPr>
      <w:r>
        <w:rPr>
          <w:rFonts w:ascii="Palatino Linotype" w:eastAsia="Palatino Linotype" w:hAnsi="Palatino Linotype" w:cs="Palatino Linotype"/>
        </w:rPr>
        <w:t>•</w:t>
      </w:r>
      <w:r>
        <w:rPr>
          <w:rFonts w:ascii="Palatino Linotype" w:eastAsia="Palatino Linotype" w:hAnsi="Palatino Linotype" w:cs="Palatino Linotype"/>
        </w:rPr>
        <w:tab/>
        <w:t>цели за рециклиране на битови отпадъци и отпадъци от опаковки;</w:t>
      </w:r>
    </w:p>
    <w:p w14:paraId="00000006" w14:textId="77777777" w:rsidR="002C12BF" w:rsidRDefault="00DB1DAD" w:rsidP="00F83D08">
      <w:pPr>
        <w:spacing w:after="0"/>
        <w:jc w:val="both"/>
        <w:rPr>
          <w:rFonts w:ascii="Palatino Linotype" w:eastAsia="Palatino Linotype" w:hAnsi="Palatino Linotype" w:cs="Palatino Linotype"/>
        </w:rPr>
      </w:pPr>
      <w:r>
        <w:rPr>
          <w:rFonts w:ascii="Palatino Linotype" w:eastAsia="Palatino Linotype" w:hAnsi="Palatino Linotype" w:cs="Palatino Linotype"/>
        </w:rPr>
        <w:t>•</w:t>
      </w:r>
      <w:r>
        <w:rPr>
          <w:rFonts w:ascii="Palatino Linotype" w:eastAsia="Palatino Linotype" w:hAnsi="Palatino Linotype" w:cs="Palatino Linotype"/>
        </w:rPr>
        <w:tab/>
        <w:t>задължителни цели за намаляване на депонирането на отпадъци до максимално допустимо ниво;</w:t>
      </w:r>
    </w:p>
    <w:p w14:paraId="00000007" w14:textId="77777777" w:rsidR="002C12BF" w:rsidRDefault="00DB1DAD" w:rsidP="00F83D08">
      <w:pPr>
        <w:spacing w:after="0"/>
        <w:jc w:val="both"/>
        <w:rPr>
          <w:rFonts w:ascii="Palatino Linotype" w:eastAsia="Palatino Linotype" w:hAnsi="Palatino Linotype" w:cs="Palatino Linotype"/>
        </w:rPr>
      </w:pPr>
      <w:r>
        <w:rPr>
          <w:rFonts w:ascii="Palatino Linotype" w:eastAsia="Palatino Linotype" w:hAnsi="Palatino Linotype" w:cs="Palatino Linotype"/>
        </w:rPr>
        <w:t>•</w:t>
      </w:r>
      <w:r>
        <w:rPr>
          <w:rFonts w:ascii="Palatino Linotype" w:eastAsia="Palatino Linotype" w:hAnsi="Palatino Linotype" w:cs="Palatino Linotype"/>
        </w:rPr>
        <w:tab/>
        <w:t>мерки за намаляване на хранителните отпадъци и морските отпадъци.</w:t>
      </w:r>
    </w:p>
    <w:p w14:paraId="00000008" w14:textId="6F72D0DE" w:rsidR="002C12BF" w:rsidRDefault="00DB1DAD">
      <w:pPr>
        <w:jc w:val="both"/>
        <w:rPr>
          <w:rFonts w:ascii="Palatino Linotype" w:eastAsia="Palatino Linotype" w:hAnsi="Palatino Linotype" w:cs="Palatino Linotype"/>
        </w:rPr>
      </w:pPr>
      <w:r>
        <w:rPr>
          <w:rFonts w:ascii="Palatino Linotype" w:eastAsia="Palatino Linotype" w:hAnsi="Palatino Linotype" w:cs="Palatino Linotype"/>
        </w:rPr>
        <w:t xml:space="preserve">Също през 2018 г. бяха стартирани допълнителни инициативи, като стратегия на ЕС за пластмасите, доклад относно суровините от критично значение, правила относно пластмасите за еднократна употреба и предложение за законодателство относно минималните изисквания за повторното използване </w:t>
      </w:r>
      <w:r w:rsidR="00F83D08">
        <w:rPr>
          <w:rFonts w:ascii="Palatino Linotype" w:eastAsia="Palatino Linotype" w:hAnsi="Palatino Linotype" w:cs="Palatino Linotype"/>
        </w:rPr>
        <w:t>на водата (прието през 2020 г.)</w:t>
      </w:r>
      <w:r>
        <w:rPr>
          <w:rFonts w:ascii="Palatino Linotype" w:eastAsia="Palatino Linotype" w:hAnsi="Palatino Linotype" w:cs="Palatino Linotype"/>
        </w:rPr>
        <w:tab/>
      </w:r>
    </w:p>
    <w:p w14:paraId="00000009" w14:textId="77777777" w:rsidR="002C12BF" w:rsidRDefault="00DB1DAD">
      <w:pPr>
        <w:jc w:val="both"/>
        <w:rPr>
          <w:rFonts w:ascii="Palatino Linotype" w:eastAsia="Palatino Linotype" w:hAnsi="Palatino Linotype" w:cs="Palatino Linotype"/>
        </w:rPr>
      </w:pPr>
      <w:r>
        <w:rPr>
          <w:rFonts w:ascii="Palatino Linotype" w:eastAsia="Palatino Linotype" w:hAnsi="Palatino Linotype" w:cs="Palatino Linotype"/>
        </w:rPr>
        <w:t xml:space="preserve">През март 2020 г., Комисията прие нов план за действие на ЕС относно кръговата икономика като основен елемент на своя Европейски зелен пакт от 2019 г., с оглед насърчаване на ефикасното използване на ресурсите в подкрепа на прехода към чиста, кръгова икономика, възстановяване на биологичното разнообразие и намаляване на замърсяването. </w:t>
      </w:r>
    </w:p>
    <w:p w14:paraId="0000000A" w14:textId="77777777" w:rsidR="002C12BF" w:rsidRDefault="00DB1DAD">
      <w:pPr>
        <w:jc w:val="both"/>
        <w:rPr>
          <w:rFonts w:ascii="Palatino Linotype" w:eastAsia="Palatino Linotype" w:hAnsi="Palatino Linotype" w:cs="Palatino Linotype"/>
        </w:rPr>
      </w:pPr>
      <w:r>
        <w:rPr>
          <w:rFonts w:ascii="Palatino Linotype" w:eastAsia="Palatino Linotype" w:hAnsi="Palatino Linotype" w:cs="Palatino Linotype"/>
        </w:rPr>
        <w:t xml:space="preserve">В тази връзка и законодателството на ЕС изисква от компетентния орган на всяка държава членка да съставя един или повече планове за управление на отпадъците в съответствие с относимите директиви на ЕС. Отговорност на всяка отделна държава членка е да прилага принципите на тези директиви при въвеждането на национална система за управление на отпадъците. По този начин планирането на управлението на отпадъците се е превърнало в постоянен елемент от усилията за публично планиране във всички държави членки на ЕС. Рамкова директива относно отпадъците (РДО) излага основните изисквания за съдържанието на плана за управление на отпадъците. Освен това, редица други директиви на ЕС указват елементите на планирането, които трябва да бъдат включени в плана. Един национален план за управление на отпадъците е от стратегическо естество, набелязвайки определени цели, докато регионалните или местни планове са ориентирани към действията и тяхното осъществяване - оперативни </w:t>
      </w:r>
      <w:r>
        <w:rPr>
          <w:rFonts w:ascii="Palatino Linotype" w:eastAsia="Palatino Linotype" w:hAnsi="Palatino Linotype" w:cs="Palatino Linotype"/>
        </w:rPr>
        <w:lastRenderedPageBreak/>
        <w:t>планове с подробни описания на настоящите системи за събиране, инсталации за третиране и др.</w:t>
      </w:r>
    </w:p>
    <w:p w14:paraId="0000000B" w14:textId="77777777" w:rsidR="002C12BF" w:rsidRDefault="00DB1DAD">
      <w:pPr>
        <w:jc w:val="both"/>
        <w:rPr>
          <w:rFonts w:ascii="Palatino Linotype" w:eastAsia="Palatino Linotype" w:hAnsi="Palatino Linotype" w:cs="Palatino Linotype"/>
        </w:rPr>
      </w:pPr>
      <w:r>
        <w:rPr>
          <w:rFonts w:ascii="Palatino Linotype" w:eastAsia="Palatino Linotype" w:hAnsi="Palatino Linotype" w:cs="Palatino Linotype"/>
        </w:rPr>
        <w:t>Националните планове за управление на отпадъците и/ или регионалните/ местни планове обаче, могат да съдържат мерки с по-широк обхват в зависимост от националното законодателство и политиката по отпадъците, приложима на регионално или местно равнище.  Директивата установява правна рамка за третирането на отпадъци в ЕС.</w:t>
      </w:r>
    </w:p>
    <w:p w14:paraId="0000000C" w14:textId="77777777" w:rsidR="002C12BF" w:rsidRDefault="00DB1DAD">
      <w:pPr>
        <w:jc w:val="both"/>
        <w:rPr>
          <w:rFonts w:ascii="Palatino Linotype" w:eastAsia="Palatino Linotype" w:hAnsi="Palatino Linotype" w:cs="Palatino Linotype"/>
        </w:rPr>
      </w:pPr>
      <w:r>
        <w:rPr>
          <w:rFonts w:ascii="Palatino Linotype" w:eastAsia="Palatino Linotype" w:hAnsi="Palatino Linotype" w:cs="Palatino Linotype"/>
        </w:rPr>
        <w:t>Рамката е предназначена за защита на околната среда и човешкото здраве, като подчертава значението на правилното управление на отпадъците, методите за оползотворяване и рециклиране, за да се намали въздействието върху ресурсите и да се подобри тяхното използване.</w:t>
      </w:r>
    </w:p>
    <w:p w14:paraId="0000000D" w14:textId="77777777" w:rsidR="002C12BF" w:rsidRDefault="00DB1DAD" w:rsidP="00F83D08">
      <w:pPr>
        <w:spacing w:after="0"/>
        <w:jc w:val="both"/>
        <w:rPr>
          <w:rFonts w:ascii="Palatino Linotype" w:eastAsia="Palatino Linotype" w:hAnsi="Palatino Linotype" w:cs="Palatino Linotype"/>
        </w:rPr>
      </w:pPr>
      <w:r>
        <w:rPr>
          <w:rFonts w:ascii="Palatino Linotype" w:eastAsia="Palatino Linotype" w:hAnsi="Palatino Linotype" w:cs="Palatino Linotype"/>
        </w:rPr>
        <w:t>С директивата 2008/98/ЕО се установява йерархия на отпадъците:</w:t>
      </w:r>
    </w:p>
    <w:p w14:paraId="0000000E" w14:textId="77777777" w:rsidR="002C12BF" w:rsidRDefault="00DB1DAD" w:rsidP="00F83D08">
      <w:pPr>
        <w:spacing w:after="0"/>
        <w:jc w:val="both"/>
        <w:rPr>
          <w:rFonts w:ascii="Palatino Linotype" w:eastAsia="Palatino Linotype" w:hAnsi="Palatino Linotype" w:cs="Palatino Linotype"/>
        </w:rPr>
      </w:pPr>
      <w:r>
        <w:rPr>
          <w:rFonts w:ascii="Palatino Linotype" w:eastAsia="Palatino Linotype" w:hAnsi="Palatino Linotype" w:cs="Palatino Linotype"/>
        </w:rPr>
        <w:t>•</w:t>
      </w:r>
      <w:r>
        <w:rPr>
          <w:rFonts w:ascii="Palatino Linotype" w:eastAsia="Palatino Linotype" w:hAnsi="Palatino Linotype" w:cs="Palatino Linotype"/>
        </w:rPr>
        <w:tab/>
        <w:t>предотвратяване;</w:t>
      </w:r>
    </w:p>
    <w:p w14:paraId="0000000F" w14:textId="77777777" w:rsidR="002C12BF" w:rsidRDefault="00DB1DAD" w:rsidP="00F83D08">
      <w:pPr>
        <w:spacing w:after="0"/>
        <w:jc w:val="both"/>
        <w:rPr>
          <w:rFonts w:ascii="Palatino Linotype" w:eastAsia="Palatino Linotype" w:hAnsi="Palatino Linotype" w:cs="Palatino Linotype"/>
        </w:rPr>
      </w:pPr>
      <w:r>
        <w:rPr>
          <w:rFonts w:ascii="Palatino Linotype" w:eastAsia="Palatino Linotype" w:hAnsi="Palatino Linotype" w:cs="Palatino Linotype"/>
        </w:rPr>
        <w:t>•</w:t>
      </w:r>
      <w:r>
        <w:rPr>
          <w:rFonts w:ascii="Palatino Linotype" w:eastAsia="Palatino Linotype" w:hAnsi="Palatino Linotype" w:cs="Palatino Linotype"/>
        </w:rPr>
        <w:tab/>
        <w:t>повторно използване;</w:t>
      </w:r>
    </w:p>
    <w:p w14:paraId="00000010" w14:textId="77777777" w:rsidR="002C12BF" w:rsidRDefault="00DB1DAD" w:rsidP="00F83D08">
      <w:pPr>
        <w:spacing w:after="0"/>
        <w:jc w:val="both"/>
        <w:rPr>
          <w:rFonts w:ascii="Palatino Linotype" w:eastAsia="Palatino Linotype" w:hAnsi="Palatino Linotype" w:cs="Palatino Linotype"/>
        </w:rPr>
      </w:pPr>
      <w:r>
        <w:rPr>
          <w:rFonts w:ascii="Palatino Linotype" w:eastAsia="Palatino Linotype" w:hAnsi="Palatino Linotype" w:cs="Palatino Linotype"/>
        </w:rPr>
        <w:t>•</w:t>
      </w:r>
      <w:r>
        <w:rPr>
          <w:rFonts w:ascii="Palatino Linotype" w:eastAsia="Palatino Linotype" w:hAnsi="Palatino Linotype" w:cs="Palatino Linotype"/>
        </w:rPr>
        <w:tab/>
        <w:t>рециклиране;</w:t>
      </w:r>
    </w:p>
    <w:p w14:paraId="00000011" w14:textId="77777777" w:rsidR="002C12BF" w:rsidRDefault="00DB1DAD" w:rsidP="00F83D08">
      <w:pPr>
        <w:spacing w:after="0"/>
        <w:jc w:val="both"/>
        <w:rPr>
          <w:rFonts w:ascii="Palatino Linotype" w:eastAsia="Palatino Linotype" w:hAnsi="Palatino Linotype" w:cs="Palatino Linotype"/>
        </w:rPr>
      </w:pPr>
      <w:r>
        <w:rPr>
          <w:rFonts w:ascii="Palatino Linotype" w:eastAsia="Palatino Linotype" w:hAnsi="Palatino Linotype" w:cs="Palatino Linotype"/>
        </w:rPr>
        <w:t>•</w:t>
      </w:r>
      <w:r>
        <w:rPr>
          <w:rFonts w:ascii="Palatino Linotype" w:eastAsia="Palatino Linotype" w:hAnsi="Palatino Linotype" w:cs="Palatino Linotype"/>
        </w:rPr>
        <w:tab/>
        <w:t xml:space="preserve">възстановяване за други цели, напр. за получаване на енергия; </w:t>
      </w:r>
    </w:p>
    <w:p w14:paraId="00000012" w14:textId="3DF5F022" w:rsidR="002C12BF" w:rsidRDefault="00DB1DAD" w:rsidP="00F83D08">
      <w:pPr>
        <w:spacing w:after="0"/>
        <w:jc w:val="both"/>
        <w:rPr>
          <w:rFonts w:ascii="Palatino Linotype" w:eastAsia="Palatino Linotype" w:hAnsi="Palatino Linotype" w:cs="Palatino Linotype"/>
        </w:rPr>
      </w:pPr>
      <w:r>
        <w:rPr>
          <w:rFonts w:ascii="Palatino Linotype" w:eastAsia="Palatino Linotype" w:hAnsi="Palatino Linotype" w:cs="Palatino Linotype"/>
        </w:rPr>
        <w:t>•</w:t>
      </w:r>
      <w:r>
        <w:rPr>
          <w:rFonts w:ascii="Palatino Linotype" w:eastAsia="Palatino Linotype" w:hAnsi="Palatino Linotype" w:cs="Palatino Linotype"/>
        </w:rPr>
        <w:tab/>
        <w:t>обезвреждане.</w:t>
      </w:r>
    </w:p>
    <w:p w14:paraId="1F0A21C8" w14:textId="77777777" w:rsidR="00F83D08" w:rsidRDefault="00F83D08" w:rsidP="00F83D08">
      <w:pPr>
        <w:spacing w:after="0"/>
        <w:jc w:val="both"/>
        <w:rPr>
          <w:rFonts w:ascii="Palatino Linotype" w:eastAsia="Palatino Linotype" w:hAnsi="Palatino Linotype" w:cs="Palatino Linotype"/>
        </w:rPr>
      </w:pPr>
    </w:p>
    <w:p w14:paraId="00000013" w14:textId="77777777" w:rsidR="002C12BF" w:rsidRDefault="00DB1DAD" w:rsidP="00F83D08">
      <w:pPr>
        <w:numPr>
          <w:ilvl w:val="0"/>
          <w:numId w:val="1"/>
        </w:numPr>
        <w:pBdr>
          <w:top w:val="nil"/>
          <w:left w:val="nil"/>
          <w:bottom w:val="nil"/>
          <w:right w:val="nil"/>
          <w:between w:val="nil"/>
        </w:pBdr>
        <w:tabs>
          <w:tab w:val="left" w:pos="426"/>
        </w:tabs>
        <w:ind w:left="0" w:firstLine="0"/>
        <w:jc w:val="both"/>
        <w:rPr>
          <w:rFonts w:ascii="Palatino Linotype" w:eastAsia="Palatino Linotype" w:hAnsi="Palatino Linotype" w:cs="Palatino Linotype"/>
          <w:b/>
          <w:color w:val="000000"/>
        </w:rPr>
      </w:pPr>
      <w:r>
        <w:rPr>
          <w:rFonts w:ascii="Palatino Linotype" w:eastAsia="Palatino Linotype" w:hAnsi="Palatino Linotype" w:cs="Palatino Linotype"/>
          <w:b/>
          <w:color w:val="000000"/>
        </w:rPr>
        <w:t>Директиви в областта на отпадъците.</w:t>
      </w:r>
    </w:p>
    <w:p w14:paraId="00000014" w14:textId="77777777" w:rsidR="002C12BF" w:rsidRDefault="00DB1DAD">
      <w:pPr>
        <w:jc w:val="both"/>
        <w:rPr>
          <w:rFonts w:ascii="Palatino Linotype" w:eastAsia="Palatino Linotype" w:hAnsi="Palatino Linotype" w:cs="Palatino Linotype"/>
        </w:rPr>
      </w:pPr>
      <w:r>
        <w:rPr>
          <w:rFonts w:ascii="Palatino Linotype" w:eastAsia="Palatino Linotype" w:hAnsi="Palatino Linotype" w:cs="Palatino Linotype"/>
          <w:b/>
        </w:rPr>
        <w:t>1.1. Директива 2008/98/EО относно отпадъците и за отмяна на определени директиви или т.нар. Рамкова директива относно отпадъците</w:t>
      </w:r>
      <w:r>
        <w:rPr>
          <w:rFonts w:ascii="Palatino Linotype" w:eastAsia="Palatino Linotype" w:hAnsi="Palatino Linotype" w:cs="Palatino Linotype"/>
        </w:rPr>
        <w:t xml:space="preserve"> съставлява цялостната регулаторна рамка на ЕС,  излага фундаменталните определения, основните принципи и цялостните стратегически цели и определя изискванията за всички видове отпадъци, освен ако те се регулират специално от други директиви. Целта на Директивата е да установи правна рамка за третирането на отпадъци в ЕС. Рамката е предназначена за защита на околната среда и човешкото здраве, като подчертава значението на правилното управление на отпадъците, методите за оползотворяване и рециклиране, за да се намали въздействието върху ресурсите и да се подобри тяхното използване.</w:t>
      </w:r>
    </w:p>
    <w:p w14:paraId="00000015" w14:textId="77777777" w:rsidR="002C12BF" w:rsidRDefault="00DB1DAD">
      <w:pPr>
        <w:jc w:val="both"/>
        <w:rPr>
          <w:rFonts w:ascii="Palatino Linotype" w:eastAsia="Palatino Linotype" w:hAnsi="Palatino Linotype" w:cs="Palatino Linotype"/>
        </w:rPr>
      </w:pPr>
      <w:r>
        <w:rPr>
          <w:rFonts w:ascii="Palatino Linotype" w:eastAsia="Palatino Linotype" w:hAnsi="Palatino Linotype" w:cs="Palatino Linotype"/>
        </w:rPr>
        <w:t xml:space="preserve">С директивата се установява йерархия на отпадъците, както споменахме по-горе. Тя затвърждава „принципа замърсителят плаща“, следователно разходите за управление на отпадъците се понасят от първоначалния причинител на отпадъците. Тя въвежда понятието „разширена отговорност на производителя“. В директивата се прави разграничение между отпадъци и странични продукти. Управлението на отпадъците се извършва без риск за водата, въздуха, почвата, растенията или животните, без да се предизвиква неудобство чрез шум или миризми и без да се причиняват вреди на природната среда или местата, които са обект на специален интерес. Производителите </w:t>
      </w:r>
      <w:r>
        <w:rPr>
          <w:rFonts w:ascii="Palatino Linotype" w:eastAsia="Palatino Linotype" w:hAnsi="Palatino Linotype" w:cs="Palatino Linotype"/>
        </w:rPr>
        <w:lastRenderedPageBreak/>
        <w:t>или притежателите на отпадъци трябва да ги обработват сами или да ги предадат на официално признат оператор. И двете изискват разрешение и периодични проверки.</w:t>
      </w:r>
    </w:p>
    <w:p w14:paraId="00000016" w14:textId="77777777" w:rsidR="002C12BF" w:rsidRDefault="00DB1DAD">
      <w:pPr>
        <w:jc w:val="both"/>
        <w:rPr>
          <w:rFonts w:ascii="Palatino Linotype" w:eastAsia="Palatino Linotype" w:hAnsi="Palatino Linotype" w:cs="Palatino Linotype"/>
        </w:rPr>
      </w:pPr>
      <w:r>
        <w:rPr>
          <w:rFonts w:ascii="Palatino Linotype" w:eastAsia="Palatino Linotype" w:hAnsi="Palatino Linotype" w:cs="Palatino Linotype"/>
        </w:rPr>
        <w:t>Компетентните национални органи трябва да създадат планове за управление на отпадъците и програми за предотвратяване образуването на отпадъци. Съгласно член 28 компетентните органи на държавите членки следва да създадат план за управление на отпадъците, който е свързан по-специално със следните елементи, които задължително трябва да бъдат уреждани във всеки план за управление на отпадъците: (a) Видът, количеството и източникът на отпадъците, генерирани в рамките на територията, отпадъците, които е вероятно да бъдат транспортирани от или до националната територия и оценка на развитието на потоците от отпадъци в бъдеще; (б) Съществуващи схеми за събиране на отпадъци и основни инсталации за депониране и оползотворяване, включително всякакви специални процедури за отработени масла, опасни отпадъци или потоци от отпадъци, регулирани от специфично законодателство на ЕС; (в) Оценяване на нуждата от нови схеми за събиране, затваряне на съществуващи инсталации за отпадъци, допълнителна инфраструктура от инсталации за отпадъци в съответствие с член 16 и, ако е необходимо, свързаните с това инвестиции; (г) Достатъчна информация за локализационните критерии за идентификация на обекти и ако е необходимо, за капацитета на бъдещи инсталации за депониране или оползотворяване; (д) Политики за общо управление на отпадъците, включително планирано управление на технологиите и методите, свързани с отпадъците или политиките за отпадъците, създаващи специфични проблеми за управлението им.</w:t>
      </w:r>
    </w:p>
    <w:p w14:paraId="00000017" w14:textId="77777777" w:rsidR="002C12BF" w:rsidRDefault="00DB1DAD">
      <w:pPr>
        <w:jc w:val="both"/>
        <w:rPr>
          <w:rFonts w:ascii="Palatino Linotype" w:eastAsia="Palatino Linotype" w:hAnsi="Palatino Linotype" w:cs="Palatino Linotype"/>
        </w:rPr>
      </w:pPr>
      <w:r>
        <w:rPr>
          <w:rFonts w:ascii="Palatino Linotype" w:eastAsia="Palatino Linotype" w:hAnsi="Palatino Linotype" w:cs="Palatino Linotype"/>
        </w:rPr>
        <w:t>Специални условия се прилагат за опасните отпадъци, отработени масла и биологични отпадъци.  В обхвата на директивата не са включени някои видове отпадъци, като: радиоактивни елементи, извадени от употреба експлозиви, фекална материя, отпадъчни води и трупове на животни и отпадъци, получени от проучването, добива, обработката и съхранението на минерални суровини и при експлоатацията на кариери.</w:t>
      </w:r>
    </w:p>
    <w:p w14:paraId="00000019" w14:textId="1BE12713" w:rsidR="002C12BF" w:rsidRDefault="00DB1DAD">
      <w:pPr>
        <w:jc w:val="both"/>
        <w:rPr>
          <w:rFonts w:ascii="Palatino Linotype" w:eastAsia="Palatino Linotype" w:hAnsi="Palatino Linotype" w:cs="Palatino Linotype"/>
        </w:rPr>
      </w:pPr>
      <w:r>
        <w:rPr>
          <w:rFonts w:ascii="Palatino Linotype" w:eastAsia="Palatino Linotype" w:hAnsi="Palatino Linotype" w:cs="Palatino Linotype"/>
        </w:rPr>
        <w:t>Закон за управление на отпадъците въвежда изискванията на Директива 2008/98/ЕО на Европейския парламент и на Съвета от 19 ноември 2008 г., относно отпадъците и за отмяна на определени директиви като приложими на територията на страната.</w:t>
      </w:r>
    </w:p>
    <w:p w14:paraId="0000001A" w14:textId="77777777" w:rsidR="002C12BF" w:rsidRDefault="00DB1DAD">
      <w:pPr>
        <w:jc w:val="both"/>
        <w:rPr>
          <w:rFonts w:ascii="Palatino Linotype" w:eastAsia="Palatino Linotype" w:hAnsi="Palatino Linotype" w:cs="Palatino Linotype"/>
          <w:b/>
        </w:rPr>
      </w:pPr>
      <w:r>
        <w:rPr>
          <w:rFonts w:ascii="Palatino Linotype" w:eastAsia="Palatino Linotype" w:hAnsi="Palatino Linotype" w:cs="Palatino Linotype"/>
          <w:b/>
        </w:rPr>
        <w:t>1.2. Директива 2015/720/ЕС на Европейския Парламент и на Съвета от 29 април 2015 година за изменение на Директива 94/62/ЕО по отношение на намаляване на потреблението на тънки пластмасови торбички за пазаруване.</w:t>
      </w:r>
    </w:p>
    <w:p w14:paraId="0000001B" w14:textId="77777777" w:rsidR="002C12BF" w:rsidRDefault="00DB1DAD">
      <w:pPr>
        <w:jc w:val="both"/>
        <w:rPr>
          <w:rFonts w:ascii="Palatino Linotype" w:eastAsia="Palatino Linotype" w:hAnsi="Palatino Linotype" w:cs="Palatino Linotype"/>
        </w:rPr>
      </w:pPr>
      <w:r>
        <w:rPr>
          <w:rFonts w:ascii="Palatino Linotype" w:eastAsia="Palatino Linotype" w:hAnsi="Palatino Linotype" w:cs="Palatino Linotype"/>
        </w:rPr>
        <w:t xml:space="preserve">В директивата са посочени мерките, които държавите членки следва да предприемат за намаляване на потреблението на пластмасови торбички за пазаруване, следва да водят до трайно намаляване на потреблението на тънки пластмасови торбички за пазаруване и следва да не водят до общо нарастване на генерирането на опаковки. </w:t>
      </w:r>
    </w:p>
    <w:p w14:paraId="0000001C" w14:textId="77777777" w:rsidR="002C12BF" w:rsidRDefault="002C12BF">
      <w:pPr>
        <w:jc w:val="both"/>
        <w:rPr>
          <w:rFonts w:ascii="Palatino Linotype" w:eastAsia="Palatino Linotype" w:hAnsi="Palatino Linotype" w:cs="Palatino Linotype"/>
        </w:rPr>
      </w:pPr>
    </w:p>
    <w:p w14:paraId="0000001D" w14:textId="77777777" w:rsidR="002C12BF" w:rsidRDefault="00DB1DAD">
      <w:pPr>
        <w:jc w:val="both"/>
        <w:rPr>
          <w:rFonts w:ascii="Palatino Linotype" w:eastAsia="Palatino Linotype" w:hAnsi="Palatino Linotype" w:cs="Palatino Linotype"/>
          <w:b/>
        </w:rPr>
      </w:pPr>
      <w:r>
        <w:rPr>
          <w:rFonts w:ascii="Palatino Linotype" w:eastAsia="Palatino Linotype" w:hAnsi="Palatino Linotype" w:cs="Palatino Linotype"/>
          <w:b/>
        </w:rPr>
        <w:lastRenderedPageBreak/>
        <w:t>1.3. Директива 2013/56/ЕС на Европейския Парламент и на Съвета от 20 ноември 2013 г. за изменение на Директива 2006/66/ЕО на Европейския парламент и на Съвета относно батерии и акумулатори и отпадъци от батерии и акумулатори по отношение на пускането на пазара на преносими батерии и акумулатори, съдържащи кадмий и предназначени за използване в електрически инструменти без захранващ шнур, както и на клетъчни батерии с ниско живачно съдържание и за отмяна на Решение 2009/603/ЕО на Комисията.</w:t>
      </w:r>
    </w:p>
    <w:p w14:paraId="0000001E" w14:textId="77777777" w:rsidR="002C12BF" w:rsidRDefault="00DB1DAD">
      <w:pPr>
        <w:jc w:val="both"/>
        <w:rPr>
          <w:rFonts w:ascii="Palatino Linotype" w:eastAsia="Palatino Linotype" w:hAnsi="Palatino Linotype" w:cs="Palatino Linotype"/>
        </w:rPr>
      </w:pPr>
      <w:r>
        <w:rPr>
          <w:rFonts w:ascii="Palatino Linotype" w:eastAsia="Palatino Linotype" w:hAnsi="Palatino Linotype" w:cs="Palatino Linotype"/>
        </w:rPr>
        <w:t>С Директива 2006/66/ЕО на Европейския парламент и на Съвета се забранява пускането на пазара на преносими батерии и акумулатори, включително на такива, вградени в уреди, които съдържат тегловно повече от 0,002 % кадмий. Въпреки това преносимите батерии и акумулатори, предназначени за използване в електрически инструменти без захранващ шнур, са освободени от тази забрана. Съществуващото освобождаване за преносими батерии и акумулатори, предназначени за използване в електрически инструменти без захранващ шнур, следва да продължи да се прилага до 31 декември 2016 г., за да се даде възможност на рециклиращата промишленост и потребителите по цялата верига на стойността да приспособят допълнително съответните заместващи технологии по еднакъв за всички региони на Съюза начин.</w:t>
      </w:r>
    </w:p>
    <w:p w14:paraId="0000001F" w14:textId="77777777" w:rsidR="002C12BF" w:rsidRDefault="00DB1DAD">
      <w:pPr>
        <w:jc w:val="both"/>
        <w:rPr>
          <w:rFonts w:ascii="Palatino Linotype" w:eastAsia="Palatino Linotype" w:hAnsi="Palatino Linotype" w:cs="Palatino Linotype"/>
        </w:rPr>
      </w:pPr>
      <w:r>
        <w:rPr>
          <w:rFonts w:ascii="Palatino Linotype" w:eastAsia="Palatino Linotype" w:hAnsi="Palatino Linotype" w:cs="Palatino Linotype"/>
        </w:rPr>
        <w:t>1.4. Директива 2013/28/ЕС на Комисията от 17 май 2013 г. за изменение на приложение II към Директива 2000/53/ЕО на Европейския парламент и на Съвета относно излезлите от употреба превозни средства. ЕВРОПЕЙСКАТА КОМИСИЯ, като взе предвид Договора за функционирането на Европейския съюз, като взе предвид Директива 2000/53/ЕО на Европейския парламент и на Съвета от 18 септември 2000 г. относно излезлите от употреба превозни средства, и по-специално член 4, параграф 2, буква б) от нея, като има предвид, че: Член 4, параграф 2, буква а) от Директива 2000/53/ЕО, забранява използването на олово, живак, кадмий или шествалентен хром в материали и компоненти на превозни средства, пуснати на пазара след 1 юли 2003 г. В приложение II към Директива 2000/53/ЕО се изброяват материалите и компонентите на превозните средства, освободени от забраната, постановена в член 4, параграф 2, буква а) от същата директива. Превозните средства, пуснати на пазара преди датата на изтичане на дадено освобождаване, както и резервните части за тях, могат да съдържат олово, живак, кадмий или шествалентен хром в материалите и компонентите, изброени в приложение II към Директива 2000/53/ЕО.</w:t>
      </w:r>
    </w:p>
    <w:p w14:paraId="00000020" w14:textId="77777777" w:rsidR="002C12BF" w:rsidRDefault="00DB1DAD">
      <w:pPr>
        <w:jc w:val="both"/>
        <w:rPr>
          <w:rFonts w:ascii="Palatino Linotype" w:eastAsia="Palatino Linotype" w:hAnsi="Palatino Linotype" w:cs="Palatino Linotype"/>
        </w:rPr>
      </w:pPr>
      <w:r>
        <w:rPr>
          <w:rFonts w:ascii="Palatino Linotype" w:eastAsia="Palatino Linotype" w:hAnsi="Palatino Linotype" w:cs="Palatino Linotype"/>
        </w:rPr>
        <w:t>1.5</w:t>
      </w:r>
      <w:r>
        <w:rPr>
          <w:rFonts w:ascii="Palatino Linotype" w:eastAsia="Palatino Linotype" w:hAnsi="Palatino Linotype" w:cs="Palatino Linotype"/>
          <w:b/>
        </w:rPr>
        <w:t>. Директива 2012/19/ЕC на Европейския парламент и на Съвета от 4 юли 2012 година относно отпадъци от електрическо и електронно оборудване (ОЕЕО)</w:t>
      </w:r>
      <w:r>
        <w:rPr>
          <w:rFonts w:ascii="Palatino Linotype" w:eastAsia="Palatino Linotype" w:hAnsi="Palatino Linotype" w:cs="Palatino Linotype"/>
        </w:rPr>
        <w:t xml:space="preserve">. Директивата изменя  Директива 2002/96/ЕО на Европейския парламент и на Съвета от 27 януари 2003 г. относно отпадъци от електрическо и електронно оборудване (ОЕЕО). Целите на политиката на Съюза в областта на околната среда са по-специално съхраняването, опазването и подобряването на качеството на околната среда, закрилата на здравето на хората и рационалното и разумно използване на природните ресурси. </w:t>
      </w:r>
      <w:r>
        <w:rPr>
          <w:rFonts w:ascii="Palatino Linotype" w:eastAsia="Palatino Linotype" w:hAnsi="Palatino Linotype" w:cs="Palatino Linotype"/>
        </w:rPr>
        <w:lastRenderedPageBreak/>
        <w:t xml:space="preserve">Тази политика е основана на принципа на предпазливост и предпазни мерки и принципите, че вредите върху околната среда следва приоритетно да се отстраняват при техния източник и че замърсителят следва да плаща. В Програмата на Общността за политика и действие по отношение на околната среда и устойчивото развитие бе изтъкнато, че постигането на устойчиво развитие изисква значителни промени в сегашния модел на развитие, производство, потребление и поведение и препоръчва, inter alia, намаляване на разточителното потребление на природни ресурси и предотвратяване на замърсяването. В нея отпадъците от електрическо и електронно оборудване (ОЕЕО) бяха посочени като една от областите, които се цели да бъдат регулирани с оглед прилагане на принципите на предотвратяване, оползотворяване и безопасно обезвреждане на отпадъци. Настоящата директива допълва общото законодателство на Съюза в областта на управлението на отпадъците, като например Директива 2008/98/ЕО на Европейския парламент и на Съвета от 19 ноември 2008 г. относно отпадъците. В нея се съдържа препращане към определенията в посочената директива, включително към определенията за отпадъци и общи операции по управление на отпадъци.  За да се гарантира, че държавите-членки полагат усилия да създадат ефикасна система за събиране, от тях следва да се изисква да постигнат високо ниво на събираемост на ОЕЕО, и по-конкретно на оборудване за охлаждане и замразяване, съдържащо озоноразрушаващи вещества и флуорирани парникови газове, предвид силното им въздействие върху околната среда и предвид задълженията, съдържащи се в Регламент (ЕО) № 842/2006 и Регламент (ЕО) № 1005/2009. Данните, включени в проведената през 2008 г. от Комисията оценка на въздействието показват, че 65 % от ЕЕО, пуснато на пазара тогава вече е било събирано разделно, но повече от половината от събраното количество е било възможно да се третира по неподходящ начин или да се изнася незаконно, а дори когато е било правилно третирано, това не е било докладвано. Това води до загуба на ценни вторични суровини, влошаване на качеството на околната среда и предоставяне на не последователни данни. </w:t>
      </w:r>
    </w:p>
    <w:p w14:paraId="00000021" w14:textId="77777777" w:rsidR="002C12BF" w:rsidRDefault="00DB1DAD">
      <w:pPr>
        <w:jc w:val="both"/>
        <w:rPr>
          <w:rFonts w:ascii="Palatino Linotype" w:eastAsia="Palatino Linotype" w:hAnsi="Palatino Linotype" w:cs="Palatino Linotype"/>
        </w:rPr>
      </w:pPr>
      <w:r>
        <w:rPr>
          <w:rFonts w:ascii="Palatino Linotype" w:eastAsia="Palatino Linotype" w:hAnsi="Palatino Linotype" w:cs="Palatino Linotype"/>
        </w:rPr>
        <w:t xml:space="preserve">Директивата изисква: </w:t>
      </w:r>
    </w:p>
    <w:p w14:paraId="00000022" w14:textId="77777777" w:rsidR="002C12BF" w:rsidRDefault="00DB1DAD" w:rsidP="00F83D08">
      <w:pPr>
        <w:spacing w:after="0"/>
        <w:jc w:val="both"/>
        <w:rPr>
          <w:rFonts w:ascii="Palatino Linotype" w:eastAsia="Palatino Linotype" w:hAnsi="Palatino Linotype" w:cs="Palatino Linotype"/>
        </w:rPr>
      </w:pPr>
      <w:r>
        <w:rPr>
          <w:rFonts w:ascii="Palatino Linotype" w:eastAsia="Palatino Linotype" w:hAnsi="Palatino Linotype" w:cs="Palatino Linotype"/>
        </w:rPr>
        <w:t>•</w:t>
      </w:r>
      <w:r>
        <w:rPr>
          <w:rFonts w:ascii="Palatino Linotype" w:eastAsia="Palatino Linotype" w:hAnsi="Palatino Linotype" w:cs="Palatino Linotype"/>
        </w:rPr>
        <w:tab/>
        <w:t>На първо място разделно събиране:</w:t>
      </w:r>
    </w:p>
    <w:p w14:paraId="00000023" w14:textId="77777777" w:rsidR="002C12BF" w:rsidRDefault="00DB1DAD" w:rsidP="00F83D08">
      <w:pPr>
        <w:spacing w:after="0"/>
        <w:jc w:val="both"/>
        <w:rPr>
          <w:rFonts w:ascii="Palatino Linotype" w:eastAsia="Palatino Linotype" w:hAnsi="Palatino Linotype" w:cs="Palatino Linotype"/>
        </w:rPr>
      </w:pPr>
      <w:r>
        <w:rPr>
          <w:rFonts w:ascii="Palatino Linotype" w:eastAsia="Palatino Linotype" w:hAnsi="Palatino Linotype" w:cs="Palatino Linotype"/>
        </w:rPr>
        <w:t>•</w:t>
      </w:r>
      <w:r>
        <w:rPr>
          <w:rFonts w:ascii="Palatino Linotype" w:eastAsia="Palatino Linotype" w:hAnsi="Palatino Linotype" w:cs="Palatino Linotype"/>
        </w:rPr>
        <w:tab/>
        <w:t>Държавите-членки предприемат подходящи мерки, за да намалят до минимум обезвреждането на ОЕЕО под формата на несортирани битови отпадъци, да осигурят правилното третиране на всички събрани ОЕЕО и да постигнат високо ниво на разделно събиране на ОЕЕО, в частност и на първо място на топлообменно оборудване, съдържащо озоноразрушаващи вещества и флуорирани парникови газове, на флуоресцентни лампи, съдържащи живак, на фотоволтаични панели и на малки уреди, посочени в категории 5 и 6 на приложение III.</w:t>
      </w:r>
    </w:p>
    <w:p w14:paraId="00000024" w14:textId="5D718345" w:rsidR="002C12BF" w:rsidRDefault="00DB1DAD" w:rsidP="00F83D08">
      <w:pPr>
        <w:spacing w:after="0"/>
        <w:jc w:val="both"/>
        <w:rPr>
          <w:rFonts w:ascii="Palatino Linotype" w:eastAsia="Palatino Linotype" w:hAnsi="Palatino Linotype" w:cs="Palatino Linotype"/>
        </w:rPr>
      </w:pPr>
      <w:r>
        <w:rPr>
          <w:rFonts w:ascii="Palatino Linotype" w:eastAsia="Palatino Linotype" w:hAnsi="Palatino Linotype" w:cs="Palatino Linotype"/>
        </w:rPr>
        <w:t>•</w:t>
      </w:r>
      <w:r>
        <w:rPr>
          <w:rFonts w:ascii="Palatino Linotype" w:eastAsia="Palatino Linotype" w:hAnsi="Palatino Linotype" w:cs="Palatino Linotype"/>
        </w:rPr>
        <w:tab/>
        <w:t xml:space="preserve">За ОЕЕО от домакинствата държавите-членки гарантират, че: а) са създадени системи, които позволяват на крайните притежатели и дистрибуторите да връщат такива отпадъци най-малко безплатно. Държавите-членки гарантират наличността и </w:t>
      </w:r>
      <w:r>
        <w:rPr>
          <w:rFonts w:ascii="Palatino Linotype" w:eastAsia="Palatino Linotype" w:hAnsi="Palatino Linotype" w:cs="Palatino Linotype"/>
        </w:rPr>
        <w:lastRenderedPageBreak/>
        <w:t>достъпа до необходимите съоръжения за събиране, като взимат предвид по-специално гъстотата на населението; б) когато се доставя нов продукт, отговорност на дистрибуторите е да гарантират, че този отпадък може да се върне на дистрибутора най-малко безплатно при съотношение едно към едно, доколкото оборудването е от сходен вид и изпълнява същите функции като предоставеното оборудване. Държавите-членки могат да се отклонят от тази разпоредба, при условие че гарантират, че не се усложнява връщането обратно на ОЕЕО от крайния притежател и че тези системи остават безплатни за последния. Държавите-членки, които използват тази дерогация, съобщават на Комисията за това; в) дистрибуторите осигуряват за крайните потребители безплатно събиране в магазините за търговия на дребно с търговска площ от най-малко 400 m2, определена за ЕЕО, или в непосредствена близост до тях, на много малки по размер ОЕЕО (при които нито един външен размер не надвишава 25 cm), без задължение за закупуване на ЕЕО от подобен вид, освен ако при оценка не се установи, че съществуващи алтернативни схеми за събиране са най-малко също толкова ефективни. Тези оценки се предоставят на разположение на обществеността. Събраните ОЕЕО се третират правилно в съответствие с член 8; г) без да се засягат букви а), б) и в), производителите могат да създадат и действат по индивидуална и/или колективна система за обратно приемане на ОЕЕО от домакинствата, при условие че тези системи са съобразени с целите на настоящата директива; д) като се вземат предвид стандартите за безопасност и здраве на национално равнище и на равнището на Съюза, може да се откаже обратното приемане по букви а), б) и в) на ОЕЕО, което представлява риск за здравето и безопасността на лицата, които работят с него, поради наличие на вредни примеси. Държавите-членки въвеждат специални правила за такъв вид ОЕЕО.</w:t>
      </w:r>
    </w:p>
    <w:p w14:paraId="66C5D6E4" w14:textId="77777777" w:rsidR="00F83D08" w:rsidRDefault="00F83D08" w:rsidP="00F83D08">
      <w:pPr>
        <w:spacing w:after="0"/>
        <w:jc w:val="both"/>
        <w:rPr>
          <w:rFonts w:ascii="Palatino Linotype" w:eastAsia="Palatino Linotype" w:hAnsi="Palatino Linotype" w:cs="Palatino Linotype"/>
        </w:rPr>
      </w:pPr>
    </w:p>
    <w:p w14:paraId="00000025" w14:textId="77777777" w:rsidR="002C12BF" w:rsidRDefault="00DB1DAD">
      <w:pPr>
        <w:jc w:val="both"/>
        <w:rPr>
          <w:rFonts w:ascii="Palatino Linotype" w:eastAsia="Palatino Linotype" w:hAnsi="Palatino Linotype" w:cs="Palatino Linotype"/>
        </w:rPr>
      </w:pPr>
      <w:r>
        <w:rPr>
          <w:rFonts w:ascii="Palatino Linotype" w:eastAsia="Palatino Linotype" w:hAnsi="Palatino Linotype" w:cs="Palatino Linotype"/>
          <w:b/>
        </w:rPr>
        <w:t>1.6. Директива 2011/97/ЕС на Съвета от 5 декември 2011 година за изменение на Директива 1999/31/ЕС по отношение на специфичните критерии за съхранение на метален живак, считан за отпадък</w:t>
      </w:r>
      <w:r>
        <w:rPr>
          <w:rFonts w:ascii="Palatino Linotype" w:eastAsia="Palatino Linotype" w:hAnsi="Palatino Linotype" w:cs="Palatino Linotype"/>
        </w:rPr>
        <w:t>. Държавите-членки въвеждат в действие законовите, подзаконови и административни разпоредби, необходими, за да се съобразят с настоящата директива, до 15 март 2013 г. Те незабавно предоставят на Комисията текста на тези разпоредби. Когато държавите-членки приемат тези разпоредби, в тях се съдържа позоваване на настоящата директива или то се извършва при официалното им публикуване. Условията и редът на позоваване се определят от държавите-членки.</w:t>
      </w:r>
    </w:p>
    <w:p w14:paraId="00000026" w14:textId="77777777" w:rsidR="002C12BF" w:rsidRDefault="00DB1DAD">
      <w:pPr>
        <w:jc w:val="both"/>
        <w:rPr>
          <w:rFonts w:ascii="Palatino Linotype" w:eastAsia="Palatino Linotype" w:hAnsi="Palatino Linotype" w:cs="Palatino Linotype"/>
        </w:rPr>
      </w:pPr>
      <w:r>
        <w:rPr>
          <w:rFonts w:ascii="Palatino Linotype" w:eastAsia="Palatino Linotype" w:hAnsi="Palatino Linotype" w:cs="Palatino Linotype"/>
          <w:b/>
        </w:rPr>
        <w:t xml:space="preserve">1.7. Директива 2010/75/ЕС на Европейския парламент и на Съвета от 24 ноември 2010 година относно емисиите от промишлеността (комплексно предотвратяване и контрол на замърсяването). </w:t>
      </w:r>
      <w:r>
        <w:rPr>
          <w:rFonts w:ascii="Palatino Linotype" w:eastAsia="Palatino Linotype" w:hAnsi="Palatino Linotype" w:cs="Palatino Linotype"/>
        </w:rPr>
        <w:t xml:space="preserve">Настоящата директива установява правила за комплексно предотвратяване и контрол на замърсяването, произтичащо от промишлени дейности. Тя установява също така правила, предназначени да предотвратят или - в случаите, когато това е практически неосъществимо, да намалят </w:t>
      </w:r>
      <w:r>
        <w:rPr>
          <w:rFonts w:ascii="Palatino Linotype" w:eastAsia="Palatino Linotype" w:hAnsi="Palatino Linotype" w:cs="Palatino Linotype"/>
        </w:rPr>
        <w:lastRenderedPageBreak/>
        <w:t>емисиите във въздуха, водите и земята и да предотвратят генерирането на отпадъци, с цел постигането на висока степен на опазване на околната среда като цяло.</w:t>
      </w:r>
    </w:p>
    <w:p w14:paraId="00000027" w14:textId="77777777" w:rsidR="002C12BF" w:rsidRDefault="00DB1DAD">
      <w:pPr>
        <w:jc w:val="both"/>
        <w:rPr>
          <w:rFonts w:ascii="Palatino Linotype" w:eastAsia="Palatino Linotype" w:hAnsi="Palatino Linotype" w:cs="Palatino Linotype"/>
        </w:rPr>
      </w:pPr>
      <w:r>
        <w:rPr>
          <w:rFonts w:ascii="Palatino Linotype" w:eastAsia="Palatino Linotype" w:hAnsi="Palatino Linotype" w:cs="Palatino Linotype"/>
          <w:b/>
        </w:rPr>
        <w:t>1.8. Директива 96/59/EО на Съвета от 16 септември 1996 година за обезвреждането на полихлорирани бифенили.</w:t>
      </w:r>
      <w:r>
        <w:rPr>
          <w:rFonts w:ascii="Palatino Linotype" w:eastAsia="Palatino Linotype" w:hAnsi="Palatino Linotype" w:cs="Palatino Linotype"/>
        </w:rPr>
        <w:t xml:space="preserve"> Целта на настоящата директива е да сближи законодателствата на държавите-членки по отношение на контролираното обезвреждане на ПХБ, обеззаразяването или обезвреждането на съоръжения, съдържащи ПХБ и/или обезвреждането на използвани ПХБ, за да се постигне тяхното пълно унищожение на основата на разпоредбите на настоящата директива.</w:t>
      </w:r>
      <w:r>
        <w:rPr>
          <w:rFonts w:ascii="Palatino Linotype" w:eastAsia="Palatino Linotype" w:hAnsi="Palatino Linotype" w:cs="Palatino Linotype"/>
        </w:rPr>
        <w:tab/>
      </w:r>
    </w:p>
    <w:p w14:paraId="00000028" w14:textId="77777777" w:rsidR="002C12BF" w:rsidRDefault="00DB1DAD">
      <w:pPr>
        <w:jc w:val="both"/>
        <w:rPr>
          <w:rFonts w:ascii="Palatino Linotype" w:eastAsia="Palatino Linotype" w:hAnsi="Palatino Linotype" w:cs="Palatino Linotype"/>
          <w:b/>
        </w:rPr>
      </w:pPr>
      <w:r>
        <w:rPr>
          <w:rFonts w:ascii="Palatino Linotype" w:eastAsia="Palatino Linotype" w:hAnsi="Palatino Linotype" w:cs="Palatino Linotype"/>
          <w:b/>
        </w:rPr>
        <w:t>1.9. Директива 86/278/EИО на Съвета от 12 юни 1986 година за опазване на околната среда, и по-специално на почвата, при използване на утайки от отпадъчни води в земеделието.</w:t>
      </w:r>
    </w:p>
    <w:p w14:paraId="00000029" w14:textId="77777777" w:rsidR="002C12BF" w:rsidRDefault="00DB1DAD">
      <w:pPr>
        <w:jc w:val="both"/>
        <w:rPr>
          <w:rFonts w:ascii="Palatino Linotype" w:eastAsia="Palatino Linotype" w:hAnsi="Palatino Linotype" w:cs="Palatino Linotype"/>
        </w:rPr>
      </w:pPr>
      <w:r>
        <w:rPr>
          <w:rFonts w:ascii="Palatino Linotype" w:eastAsia="Palatino Linotype" w:hAnsi="Palatino Linotype" w:cs="Palatino Linotype"/>
        </w:rPr>
        <w:t>Целта на настоящата директива е да регулира използването на утайката от отпадъчни води в земеделието по начин, който предотвратява опасното въздействие върху почвата, растителността, животните и човека, като по този начин се поощрява правилното използване на такива утайки от отпадъчни води.</w:t>
      </w:r>
    </w:p>
    <w:p w14:paraId="0000002B" w14:textId="60CF8429" w:rsidR="002C12BF" w:rsidRDefault="00DB1DAD">
      <w:pPr>
        <w:jc w:val="both"/>
        <w:rPr>
          <w:rFonts w:ascii="Palatino Linotype" w:eastAsia="Palatino Linotype" w:hAnsi="Palatino Linotype" w:cs="Palatino Linotype"/>
        </w:rPr>
      </w:pPr>
      <w:r>
        <w:rPr>
          <w:rFonts w:ascii="Palatino Linotype" w:eastAsia="Palatino Linotype" w:hAnsi="Palatino Linotype" w:cs="Palatino Linotype"/>
          <w:b/>
        </w:rPr>
        <w:t>1.10. Директива (ЕС) 2018/850 на Европейския парламент и на Съвета за изменение на Директива 1999/31/ЕО относно депонирането на отпадъци</w:t>
      </w:r>
      <w:r>
        <w:rPr>
          <w:rFonts w:ascii="Palatino Linotype" w:eastAsia="Palatino Linotype" w:hAnsi="Palatino Linotype" w:cs="Palatino Linotype"/>
        </w:rPr>
        <w:t xml:space="preserve">. Настоящата директива се въвежда с цел да се осигури по-голяма съгласуваност в правото на Съюза относно отпадъците, определенията в Директива 1999/31/ЕО следва да се уеднаквят, когато е приложимо, с тези в Директива 2008/98/ЕО на Европейския парламент и на Съвета. За да гарантира правилното прилагане на йерархията на отпадъците е необходимо да се вземат подходящи мерки за прилагане, считано от 2030 г., на ограничения върху депонирането на всички отпадъци, които са подходящи за рециклиране или друг вид оползотворяване на материали или енергия. Тези ограничения не следва да се прилагат, ако може да се докаже, че отпадъците не са годни за рециклиране или друго оползотворяване и че депонирането би дало най-добри цялостни резултати за околната среда в съответствие с йерархията на отпадъците, определена в Директива 2008/98/ЕО. </w:t>
      </w:r>
    </w:p>
    <w:p w14:paraId="0000002C" w14:textId="77777777" w:rsidR="002C12BF" w:rsidRDefault="00DB1DAD">
      <w:pPr>
        <w:jc w:val="both"/>
        <w:rPr>
          <w:rFonts w:ascii="Palatino Linotype" w:eastAsia="Palatino Linotype" w:hAnsi="Palatino Linotype" w:cs="Palatino Linotype"/>
          <w:b/>
        </w:rPr>
      </w:pPr>
      <w:r>
        <w:rPr>
          <w:rFonts w:ascii="Palatino Linotype" w:eastAsia="Palatino Linotype" w:hAnsi="Palatino Linotype" w:cs="Palatino Linotype"/>
          <w:b/>
        </w:rPr>
        <w:t>2.Регламенти.</w:t>
      </w:r>
    </w:p>
    <w:p w14:paraId="0000002D" w14:textId="77777777" w:rsidR="002C12BF" w:rsidRDefault="00DB1DAD">
      <w:pPr>
        <w:jc w:val="both"/>
        <w:rPr>
          <w:rFonts w:ascii="Palatino Linotype" w:eastAsia="Palatino Linotype" w:hAnsi="Palatino Linotype" w:cs="Palatino Linotype"/>
        </w:rPr>
      </w:pPr>
      <w:r>
        <w:rPr>
          <w:rFonts w:ascii="Palatino Linotype" w:eastAsia="Palatino Linotype" w:hAnsi="Palatino Linotype" w:cs="Palatino Linotype"/>
          <w:b/>
        </w:rPr>
        <w:t>2.1 Регламент (ЕС) 2017/997 на Съвета от 8 юни 2017 година за изменение на приложение III към Директива 2008/98/ЕО на Европейския парламент и на Съвета относно отпадъците по отношение на опасното свойство HP 14 „Токсични за околната среда“.</w:t>
      </w:r>
      <w:r>
        <w:rPr>
          <w:rFonts w:ascii="Palatino Linotype" w:eastAsia="Palatino Linotype" w:hAnsi="Palatino Linotype" w:cs="Palatino Linotype"/>
        </w:rPr>
        <w:t xml:space="preserve"> С този регламент, който е задължителен за държавите членки се изменя Директива 2008/98/ЕО</w:t>
      </w:r>
    </w:p>
    <w:p w14:paraId="0000002E" w14:textId="77777777" w:rsidR="002C12BF" w:rsidRDefault="00DB1DAD">
      <w:pPr>
        <w:jc w:val="both"/>
        <w:rPr>
          <w:rFonts w:ascii="Palatino Linotype" w:eastAsia="Palatino Linotype" w:hAnsi="Palatino Linotype" w:cs="Palatino Linotype"/>
        </w:rPr>
      </w:pPr>
      <w:r>
        <w:rPr>
          <w:rFonts w:ascii="Palatino Linotype" w:eastAsia="Palatino Linotype" w:hAnsi="Palatino Linotype" w:cs="Palatino Linotype"/>
          <w:b/>
        </w:rPr>
        <w:t>2.2. Регламент (ЕС) 2017/852 на Европейския парламент и на Съвета от 17 май 2017 година относно живака и за отмяна на Регламент (ЕО) № 1102/2008.</w:t>
      </w:r>
      <w:r>
        <w:rPr>
          <w:rFonts w:ascii="Palatino Linotype" w:eastAsia="Palatino Linotype" w:hAnsi="Palatino Linotype" w:cs="Palatino Linotype"/>
        </w:rPr>
        <w:t xml:space="preserve"> Република България е подписала Конвенция Минамата относно живака на 10 октомври 2013 г. по </w:t>
      </w:r>
      <w:r>
        <w:rPr>
          <w:rFonts w:ascii="Palatino Linotype" w:eastAsia="Palatino Linotype" w:hAnsi="Palatino Linotype" w:cs="Palatino Linotype"/>
        </w:rPr>
        <w:lastRenderedPageBreak/>
        <w:t>време на Дипломатическа конференция на Пълномощните министри, проведена в гр. Кумамото Япония. В интерес на правната яснота, произтичащите от Конвенцията задължения,  са въведени в законодателството на ЕС и се обединяват в проект на Регламент за живака, внесен с предложение от Европейската комисия като част от ратификационния пакет по Конвенцията. С настоящия регламент се създават мерки и условия относно употребата, съхранението и  търговията с живак, живачни съединения и смеси на живака, както и производството и употребата, и търговията с продукти с добавен живак, и управлението на отпадъци от живак, за да се гарантира високо равнище на защита на здравето на човека и на околната среда от антропогенни емисиии изпускания на живак и живачни съединения.</w:t>
      </w:r>
    </w:p>
    <w:p w14:paraId="0000002F" w14:textId="77777777" w:rsidR="002C12BF" w:rsidRDefault="00DB1DAD">
      <w:pPr>
        <w:jc w:val="both"/>
        <w:rPr>
          <w:rFonts w:ascii="Palatino Linotype" w:eastAsia="Palatino Linotype" w:hAnsi="Palatino Linotype" w:cs="Palatino Linotype"/>
        </w:rPr>
      </w:pPr>
      <w:r>
        <w:rPr>
          <w:rFonts w:ascii="Palatino Linotype" w:eastAsia="Palatino Linotype" w:hAnsi="Palatino Linotype" w:cs="Palatino Linotype"/>
        </w:rPr>
        <w:t>Съгласно регламента, държавите членки определят компетентните органи, които отговарят за изпълнението на задълженията, произтичащи от настоящия регламент.  До 1 януари 2020 г. и на подходящи интервали от време след това държавите членки изготвят, представят на Комисията и публикуват в интернет доклад със  съдържание, относно:</w:t>
      </w:r>
    </w:p>
    <w:p w14:paraId="00000030" w14:textId="77777777" w:rsidR="002C12BF" w:rsidRDefault="00DB1DAD">
      <w:pPr>
        <w:jc w:val="both"/>
        <w:rPr>
          <w:rFonts w:ascii="Palatino Linotype" w:eastAsia="Palatino Linotype" w:hAnsi="Palatino Linotype" w:cs="Palatino Linotype"/>
        </w:rPr>
      </w:pPr>
      <w:r>
        <w:rPr>
          <w:rFonts w:ascii="Palatino Linotype" w:eastAsia="Palatino Linotype" w:hAnsi="Palatino Linotype" w:cs="Palatino Linotype"/>
        </w:rPr>
        <w:t xml:space="preserve"> а) информация, отнасяща се до изпълнението на настоящия регламент; б) информация, необходима за изпълнението от страна на Съюза на задължението за докладване; в) обобщение на информацията, събрана в съответствие с член 12 от настоящия регламент; г) информация относно живака, който се намира на тяхна територия: списък на обектите, в които се намират повече от 50 тона живак, различен от отпадъци от живак, както и количеството живак във всеки обект; ii) списък на обектите, в които са събрани повече от 50 тона отпадъци от живак, кактои количествотоотпадъциотживаквъввсекиобект; и д) списък на източниците на доставки на живак над 10 тона живак на година, когато държавите членки са запознати с тези източници.  Компетентен орган по прилагане на Регламента е Министърът на околната среда и водите, по смисъла на чл.17 от Регламента, с изключение на разпоредбите свързани с опазване на човешкото здраве от живак, живачни съединения и смеси от живака, включително мерките свързани с дентална амалгама. Контролни органи са: Региоинална инспекция по околна среда и водите, Регионални здравни инспекции, Агенция «Митници», Изпълнителна агенция по лекарствата, Държавна инспекция по метрологичен и технически надзор, Комисия за защита на потебителите и Българска агенция по безопасност на храните.</w:t>
      </w:r>
    </w:p>
    <w:p w14:paraId="00000031" w14:textId="77777777" w:rsidR="002C12BF" w:rsidRDefault="00DB1DAD">
      <w:pPr>
        <w:jc w:val="both"/>
        <w:rPr>
          <w:rFonts w:ascii="Palatino Linotype" w:eastAsia="Palatino Linotype" w:hAnsi="Palatino Linotype" w:cs="Palatino Linotype"/>
        </w:rPr>
      </w:pPr>
      <w:r>
        <w:rPr>
          <w:rFonts w:ascii="Palatino Linotype" w:eastAsia="Palatino Linotype" w:hAnsi="Palatino Linotype" w:cs="Palatino Linotype"/>
        </w:rPr>
        <w:t>Столична община има задължения по този регламент, във връзка със събирането, правилното третиране на отпадъците и обявяване на места за предаване на живак и опасните му съединение.</w:t>
      </w:r>
    </w:p>
    <w:p w14:paraId="00000032" w14:textId="77777777" w:rsidR="002C12BF" w:rsidRDefault="00DB1DAD">
      <w:pPr>
        <w:jc w:val="both"/>
        <w:rPr>
          <w:rFonts w:ascii="Palatino Linotype" w:eastAsia="Palatino Linotype" w:hAnsi="Palatino Linotype" w:cs="Palatino Linotype"/>
          <w:b/>
        </w:rPr>
      </w:pPr>
      <w:r>
        <w:rPr>
          <w:rFonts w:ascii="Palatino Linotype" w:eastAsia="Palatino Linotype" w:hAnsi="Palatino Linotype" w:cs="Palatino Linotype"/>
          <w:b/>
        </w:rPr>
        <w:t xml:space="preserve">2.3.Регламент (ЕС) № 1357/2014 на Комисията от 18 декември 2014 година за замяна на приложение III към Директива 2008/98/ЕО на Европейския парламент и на Съвета относно отпадъците и за отмяна на определени директиви. С този </w:t>
      </w:r>
      <w:r>
        <w:rPr>
          <w:rFonts w:ascii="Palatino Linotype" w:eastAsia="Palatino Linotype" w:hAnsi="Palatino Linotype" w:cs="Palatino Linotype"/>
          <w:b/>
        </w:rPr>
        <w:lastRenderedPageBreak/>
        <w:t>регламент, който е задължителен за държавите членки се изменя Директива 2008/98/ЕО.</w:t>
      </w:r>
    </w:p>
    <w:p w14:paraId="00000033" w14:textId="77777777" w:rsidR="002C12BF" w:rsidRDefault="00DB1DAD">
      <w:pPr>
        <w:jc w:val="both"/>
        <w:rPr>
          <w:rFonts w:ascii="Palatino Linotype" w:eastAsia="Palatino Linotype" w:hAnsi="Palatino Linotype" w:cs="Palatino Linotype"/>
        </w:rPr>
      </w:pPr>
      <w:r>
        <w:rPr>
          <w:rFonts w:ascii="Palatino Linotype" w:eastAsia="Palatino Linotype" w:hAnsi="Palatino Linotype" w:cs="Palatino Linotype"/>
          <w:b/>
        </w:rPr>
        <w:t>2.4.Регламент (ЕС) № 660/2014 на Европейския Парламент и на Съвета от 15 май 2014 година за изменение на Регламент (ЕО) № 1013/2006 относно превози на отпадъци</w:t>
      </w:r>
      <w:r>
        <w:rPr>
          <w:rFonts w:ascii="Palatino Linotype" w:eastAsia="Palatino Linotype" w:hAnsi="Palatino Linotype" w:cs="Palatino Linotype"/>
        </w:rPr>
        <w:t>. С цел опазване на околната среда с Регламент (ЕО) № 1013/2006 на Европейския парламент и на Съвета се определят изисквания за превозите на отпадъци в рамките на Съюза и между държавите членки и трети държави. Въпреки това бяха установени различия и пропуски при изпълнението и инспекциите, извършвани от органите, участващи в инспекциите в държавите членки.</w:t>
      </w:r>
    </w:p>
    <w:p w14:paraId="00000034" w14:textId="77777777" w:rsidR="002C12BF" w:rsidRDefault="00DB1DAD">
      <w:pPr>
        <w:jc w:val="both"/>
        <w:rPr>
          <w:rFonts w:ascii="Palatino Linotype" w:eastAsia="Palatino Linotype" w:hAnsi="Palatino Linotype" w:cs="Palatino Linotype"/>
        </w:rPr>
      </w:pPr>
      <w:r>
        <w:rPr>
          <w:rFonts w:ascii="Palatino Linotype" w:eastAsia="Palatino Linotype" w:hAnsi="Palatino Linotype" w:cs="Palatino Linotype"/>
          <w:b/>
        </w:rPr>
        <w:t>2.5. Регламент (ЕС) 2015/2002 на Комисията от 10 ноември 2015 година за изменение на приложения IВ и V към Регламент (ЕО) № 1013/2006 на Европейския парламент и на Съвета относно превози на отпадъци.</w:t>
      </w:r>
      <w:r>
        <w:rPr>
          <w:rFonts w:ascii="Palatino Linotype" w:eastAsia="Palatino Linotype" w:hAnsi="Palatino Linotype" w:cs="Palatino Linotype"/>
        </w:rPr>
        <w:t xml:space="preserve"> С този регламент, който е задължителен за държавите членки се изменя Регламент (ЕО) № 1013/2006.</w:t>
      </w:r>
    </w:p>
    <w:p w14:paraId="00000035" w14:textId="77777777" w:rsidR="002C12BF" w:rsidRDefault="00DB1DAD">
      <w:pPr>
        <w:jc w:val="both"/>
        <w:rPr>
          <w:rFonts w:ascii="Palatino Linotype" w:eastAsia="Palatino Linotype" w:hAnsi="Palatino Linotype" w:cs="Palatino Linotype"/>
        </w:rPr>
      </w:pPr>
      <w:r>
        <w:rPr>
          <w:rFonts w:ascii="Palatino Linotype" w:eastAsia="Palatino Linotype" w:hAnsi="Palatino Linotype" w:cs="Palatino Linotype"/>
          <w:b/>
        </w:rPr>
        <w:t>2.6. Регламент (ЕС) № 1103/2010 на Комисията от 29 ноември 2010 година относно установяване на правила по отношение на етикетирането на капацитета на преносими вторични (презаредими) батерии и автомобилни батерии и акумулатори съгласно Директива 2006/66/ЕО на Европейския парламент и на Съвета.</w:t>
      </w:r>
      <w:r>
        <w:rPr>
          <w:rFonts w:ascii="Palatino Linotype" w:eastAsia="Palatino Linotype" w:hAnsi="Palatino Linotype" w:cs="Palatino Linotype"/>
        </w:rPr>
        <w:t xml:space="preserve"> Настоящият регламент следва да бъде прилаган за преносими вторични (презаредими) и автомобилни батерии и акумулатори, пуснати на пазара за пръв път осемнайсет месеца след 29.11.2010.</w:t>
      </w:r>
    </w:p>
    <w:p w14:paraId="00000036" w14:textId="77777777" w:rsidR="002C12BF" w:rsidRDefault="00DB1DAD">
      <w:pPr>
        <w:jc w:val="both"/>
        <w:rPr>
          <w:rFonts w:ascii="Palatino Linotype" w:eastAsia="Palatino Linotype" w:hAnsi="Palatino Linotype" w:cs="Palatino Linotype"/>
        </w:rPr>
      </w:pPr>
      <w:r>
        <w:rPr>
          <w:rFonts w:ascii="Palatino Linotype" w:eastAsia="Palatino Linotype" w:hAnsi="Palatino Linotype" w:cs="Palatino Linotype"/>
          <w:b/>
        </w:rPr>
        <w:t xml:space="preserve">2.7. Регламент (ЕС) № 333/2011 на Съвета от 31 март 2011 година за установяване на критерии за това кога определени типове скрап престават да бъдат отпадъци по Директива 2008/98/ЕО на Европейския парламент и на Съвета. </w:t>
      </w:r>
      <w:r>
        <w:rPr>
          <w:rFonts w:ascii="Palatino Linotype" w:eastAsia="Palatino Linotype" w:hAnsi="Palatino Linotype" w:cs="Palatino Linotype"/>
        </w:rPr>
        <w:t>Настоящият регламент определя критерии за това кога скрапът от чугун, стомана и алуминий, включително скрапът от сплави на алуминия, престава да бъде отпадък.</w:t>
      </w:r>
    </w:p>
    <w:p w14:paraId="00000037" w14:textId="77777777" w:rsidR="002C12BF" w:rsidRDefault="00DB1DAD">
      <w:pPr>
        <w:jc w:val="both"/>
        <w:rPr>
          <w:rFonts w:ascii="Palatino Linotype" w:eastAsia="Palatino Linotype" w:hAnsi="Palatino Linotype" w:cs="Palatino Linotype"/>
        </w:rPr>
      </w:pPr>
      <w:r>
        <w:rPr>
          <w:rFonts w:ascii="Palatino Linotype" w:eastAsia="Palatino Linotype" w:hAnsi="Palatino Linotype" w:cs="Palatino Linotype"/>
          <w:b/>
        </w:rPr>
        <w:t xml:space="preserve">2.8. Регламент (ЕС) № 493/2012 на Комисията от 11 юни 2012 година за определяне, в съответствие с Директива 2006/66/ЕО на Европейския парламент и на Съвета, на подробни правила за изчисляване на ефективността на рециклирането на процесите на рециклиране на отпадъчни батерии и акумулатори. </w:t>
      </w:r>
      <w:r>
        <w:rPr>
          <w:rFonts w:ascii="Palatino Linotype" w:eastAsia="Palatino Linotype" w:hAnsi="Palatino Linotype" w:cs="Palatino Linotype"/>
        </w:rPr>
        <w:t>Настоящият регламент се отнася за процесите на рециклиране на отпадъчни батерии и акумулатори и започва да се прилага от 1 януари 2014 г</w:t>
      </w:r>
    </w:p>
    <w:p w14:paraId="00000038" w14:textId="77777777" w:rsidR="002C12BF" w:rsidRDefault="00DB1DAD">
      <w:pPr>
        <w:jc w:val="both"/>
        <w:rPr>
          <w:rFonts w:ascii="Palatino Linotype" w:eastAsia="Palatino Linotype" w:hAnsi="Palatino Linotype" w:cs="Palatino Linotype"/>
        </w:rPr>
      </w:pPr>
      <w:r>
        <w:rPr>
          <w:rFonts w:ascii="Palatino Linotype" w:eastAsia="Palatino Linotype" w:hAnsi="Palatino Linotype" w:cs="Palatino Linotype"/>
          <w:b/>
        </w:rPr>
        <w:t xml:space="preserve">2.9. Регламент (ЕС) № 1179/2012 на Комисията от 10 декември 2012 година за установяване на критерии, определящи кога стъклени трошки престават да бъдат отпадък по Директива 2008/98/ЕО на Европейския парламент и на Съвета Регламент (ЕС) № 715/2013 на Комисията от 25 юли 2013 година за установяване на критерии, определящи кога меден скрап престава да бъде отпадък съгласно Директива 2008/98/ЕО на Европейския парламент и на Съвета. </w:t>
      </w:r>
      <w:r>
        <w:rPr>
          <w:rFonts w:ascii="Palatino Linotype" w:eastAsia="Palatino Linotype" w:hAnsi="Palatino Linotype" w:cs="Palatino Linotype"/>
        </w:rPr>
        <w:t xml:space="preserve">Настоящият </w:t>
      </w:r>
      <w:r>
        <w:rPr>
          <w:rFonts w:ascii="Palatino Linotype" w:eastAsia="Palatino Linotype" w:hAnsi="Palatino Linotype" w:cs="Palatino Linotype"/>
        </w:rPr>
        <w:lastRenderedPageBreak/>
        <w:t>регламент установява критерии, определящи кога стъклените трошки, предназначени за производството на стъклени вещества или предмети с процеси на претопяване, престават да бъдат отпадък.</w:t>
      </w:r>
    </w:p>
    <w:p w14:paraId="00000039" w14:textId="77777777" w:rsidR="002C12BF" w:rsidRDefault="00DB1DAD">
      <w:pPr>
        <w:jc w:val="both"/>
        <w:rPr>
          <w:rFonts w:ascii="Palatino Linotype" w:eastAsia="Palatino Linotype" w:hAnsi="Palatino Linotype" w:cs="Palatino Linotype"/>
        </w:rPr>
      </w:pPr>
      <w:r>
        <w:rPr>
          <w:rFonts w:ascii="Palatino Linotype" w:eastAsia="Palatino Linotype" w:hAnsi="Palatino Linotype" w:cs="Palatino Linotype"/>
          <w:b/>
        </w:rPr>
        <w:t>2.10. Регламент (ЕС) № 715/2013 на Комисията от 25 юли 2013 година за установяване на критерии, определящи кога меден скрап престава да бъде отпадък съгласно Директива 2008/98/ЕО на Европейския парламент и на Съвета.</w:t>
      </w:r>
      <w:r>
        <w:rPr>
          <w:rFonts w:ascii="Palatino Linotype" w:eastAsia="Palatino Linotype" w:hAnsi="Palatino Linotype" w:cs="Palatino Linotype"/>
        </w:rPr>
        <w:t xml:space="preserve"> Настоящият регламент установява критерии, определящи кога медният скрап престава да бъде отпадък.</w:t>
      </w:r>
      <w:r>
        <w:rPr>
          <w:rFonts w:ascii="Palatino Linotype" w:eastAsia="Palatino Linotype" w:hAnsi="Palatino Linotype" w:cs="Palatino Linotype"/>
        </w:rPr>
        <w:tab/>
      </w:r>
    </w:p>
    <w:p w14:paraId="0000003C" w14:textId="18D8AC14" w:rsidR="002C12BF" w:rsidRDefault="00DB1DAD">
      <w:pPr>
        <w:jc w:val="both"/>
        <w:rPr>
          <w:rFonts w:ascii="Palatino Linotype" w:eastAsia="Palatino Linotype" w:hAnsi="Palatino Linotype" w:cs="Palatino Linotype"/>
        </w:rPr>
      </w:pPr>
      <w:r>
        <w:rPr>
          <w:rFonts w:ascii="Palatino Linotype" w:eastAsia="Palatino Linotype" w:hAnsi="Palatino Linotype" w:cs="Palatino Linotype"/>
          <w:b/>
        </w:rPr>
        <w:t>2.11. Регламент (ЕС) № 1257/2013 на Европейския парламент и на Съвета от 20 ноември 2013 година относно рециклирането на кораби и за изменение на Регламент (ЕО) № 1013/2006 и Директива 2009/16/ЕО.</w:t>
      </w:r>
      <w:r>
        <w:rPr>
          <w:rFonts w:ascii="Palatino Linotype" w:eastAsia="Palatino Linotype" w:hAnsi="Palatino Linotype" w:cs="Palatino Linotype"/>
        </w:rPr>
        <w:t xml:space="preserve"> Настоящия регламент има за цел да предотврати, намали, сведе до минимум и, доколкото е практически възможно, да премахне произшествията, нараняванията и други неблагоприятни въздействия върху човешкото здраве и околната среда, причинени от рециклирането на кораби. Целта на настоящия регламент е да повиши безопасността и да осигури по-добра защита на човешкото здраве и на морската среда в Съюза по време на жизнения цикъл на корабите, по-специално като се гарантира, че опасните отпадъци от рециклирането на корабите подлежат на екологосъобразно управление законодателството към общините и лицата опериращи с отпадъци.</w:t>
      </w:r>
    </w:p>
    <w:p w14:paraId="0000003D" w14:textId="77777777" w:rsidR="002C12BF" w:rsidRDefault="00DB1DAD">
      <w:pPr>
        <w:jc w:val="both"/>
        <w:rPr>
          <w:rFonts w:ascii="Palatino Linotype" w:eastAsia="Palatino Linotype" w:hAnsi="Palatino Linotype" w:cs="Palatino Linotype"/>
          <w:b/>
          <w:u w:val="single"/>
        </w:rPr>
      </w:pPr>
      <w:r>
        <w:rPr>
          <w:rFonts w:ascii="Palatino Linotype" w:eastAsia="Palatino Linotype" w:hAnsi="Palatino Linotype" w:cs="Palatino Linotype"/>
          <w:b/>
          <w:u w:val="single"/>
        </w:rPr>
        <w:t>3. Закони</w:t>
      </w:r>
    </w:p>
    <w:p w14:paraId="56CA47DB" w14:textId="77777777" w:rsidR="00F83D08" w:rsidRDefault="00DB1DAD" w:rsidP="00F83D08">
      <w:pPr>
        <w:tabs>
          <w:tab w:val="left" w:pos="0"/>
        </w:tabs>
        <w:jc w:val="both"/>
        <w:rPr>
          <w:rFonts w:ascii="Palatino Linotype" w:eastAsia="Palatino Linotype" w:hAnsi="Palatino Linotype" w:cs="Palatino Linotype"/>
        </w:rPr>
      </w:pPr>
      <w:r>
        <w:rPr>
          <w:rFonts w:ascii="Palatino Linotype" w:eastAsia="Palatino Linotype" w:hAnsi="Palatino Linotype" w:cs="Palatino Linotype"/>
        </w:rPr>
        <w:t>3.1. Закон за управление на отпадъците;</w:t>
      </w:r>
    </w:p>
    <w:p w14:paraId="0000003F" w14:textId="05EFACF1" w:rsidR="002C12BF" w:rsidRDefault="00DB1DAD" w:rsidP="00F83D08">
      <w:pPr>
        <w:tabs>
          <w:tab w:val="left" w:pos="0"/>
        </w:tabs>
        <w:jc w:val="both"/>
        <w:rPr>
          <w:rFonts w:ascii="Palatino Linotype" w:eastAsia="Palatino Linotype" w:hAnsi="Palatino Linotype" w:cs="Palatino Linotype"/>
        </w:rPr>
      </w:pPr>
      <w:r>
        <w:rPr>
          <w:rFonts w:ascii="Palatino Linotype" w:eastAsia="Palatino Linotype" w:hAnsi="Palatino Linotype" w:cs="Palatino Linotype"/>
        </w:rPr>
        <w:t>3.2. Закон за местните данъци и такси;</w:t>
      </w:r>
    </w:p>
    <w:p w14:paraId="00000040" w14:textId="77777777" w:rsidR="002C12BF" w:rsidRDefault="00DB1DAD" w:rsidP="00F83D08">
      <w:pPr>
        <w:jc w:val="both"/>
        <w:rPr>
          <w:rFonts w:ascii="Palatino Linotype" w:eastAsia="Palatino Linotype" w:hAnsi="Palatino Linotype" w:cs="Palatino Linotype"/>
        </w:rPr>
      </w:pPr>
      <w:r>
        <w:rPr>
          <w:rFonts w:ascii="Palatino Linotype" w:eastAsia="Palatino Linotype" w:hAnsi="Palatino Linotype" w:cs="Palatino Linotype"/>
        </w:rPr>
        <w:t>3.3. Закон за местното самоуправление и местната администрация;</w:t>
      </w:r>
    </w:p>
    <w:p w14:paraId="00000041" w14:textId="77777777" w:rsidR="002C12BF" w:rsidRDefault="00DB1DAD" w:rsidP="00F83D08">
      <w:pPr>
        <w:jc w:val="both"/>
        <w:rPr>
          <w:rFonts w:ascii="Palatino Linotype" w:eastAsia="Palatino Linotype" w:hAnsi="Palatino Linotype" w:cs="Palatino Linotype"/>
        </w:rPr>
      </w:pPr>
      <w:r>
        <w:rPr>
          <w:rFonts w:ascii="Palatino Linotype" w:eastAsia="Palatino Linotype" w:hAnsi="Palatino Linotype" w:cs="Palatino Linotype"/>
        </w:rPr>
        <w:t>3.4. Закон за опазване на околната среда;</w:t>
      </w:r>
    </w:p>
    <w:p w14:paraId="00000042" w14:textId="77777777" w:rsidR="002C12BF" w:rsidRDefault="00DB1DAD" w:rsidP="00F83D08">
      <w:pPr>
        <w:jc w:val="both"/>
        <w:rPr>
          <w:rFonts w:ascii="Palatino Linotype" w:eastAsia="Palatino Linotype" w:hAnsi="Palatino Linotype" w:cs="Palatino Linotype"/>
        </w:rPr>
      </w:pPr>
      <w:r>
        <w:rPr>
          <w:rFonts w:ascii="Palatino Linotype" w:eastAsia="Palatino Linotype" w:hAnsi="Palatino Linotype" w:cs="Palatino Linotype"/>
        </w:rPr>
        <w:t>3.5. Закон за защита от вредно въздействие на химически вещества.</w:t>
      </w:r>
    </w:p>
    <w:p w14:paraId="00000043" w14:textId="77777777" w:rsidR="002C12BF" w:rsidRDefault="00DB1DAD">
      <w:pPr>
        <w:jc w:val="both"/>
        <w:rPr>
          <w:rFonts w:ascii="Palatino Linotype" w:eastAsia="Palatino Linotype" w:hAnsi="Palatino Linotype" w:cs="Palatino Linotype"/>
          <w:b/>
          <w:u w:val="single"/>
        </w:rPr>
      </w:pPr>
      <w:r>
        <w:rPr>
          <w:rFonts w:ascii="Palatino Linotype" w:eastAsia="Palatino Linotype" w:hAnsi="Palatino Linotype" w:cs="Palatino Linotype"/>
          <w:b/>
          <w:u w:val="single"/>
        </w:rPr>
        <w:t>4. Наредби</w:t>
      </w:r>
    </w:p>
    <w:p w14:paraId="00000044" w14:textId="4CC40D76" w:rsidR="002C12BF" w:rsidRDefault="00DB1DAD">
      <w:pPr>
        <w:jc w:val="both"/>
        <w:rPr>
          <w:rFonts w:ascii="Palatino Linotype" w:eastAsia="Palatino Linotype" w:hAnsi="Palatino Linotype" w:cs="Palatino Linotype"/>
        </w:rPr>
      </w:pPr>
      <w:r>
        <w:rPr>
          <w:rFonts w:ascii="Palatino Linotype" w:eastAsia="Palatino Linotype" w:hAnsi="Palatino Linotype" w:cs="Palatino Linotype"/>
        </w:rPr>
        <w:t>4.1.Наредба за опаковките и отпадъците от опаковки;</w:t>
      </w:r>
    </w:p>
    <w:p w14:paraId="00000045" w14:textId="1B954746" w:rsidR="002C12BF" w:rsidRDefault="00DB1DAD">
      <w:pPr>
        <w:jc w:val="both"/>
        <w:rPr>
          <w:rFonts w:ascii="Palatino Linotype" w:eastAsia="Palatino Linotype" w:hAnsi="Palatino Linotype" w:cs="Palatino Linotype"/>
        </w:rPr>
      </w:pPr>
      <w:r>
        <w:rPr>
          <w:rFonts w:ascii="Palatino Linotype" w:eastAsia="Palatino Linotype" w:hAnsi="Palatino Linotype" w:cs="Palatino Linotype"/>
        </w:rPr>
        <w:t>4.2.Наредба за определяне на реда и размера за заплащане на продуктова такса;</w:t>
      </w:r>
    </w:p>
    <w:p w14:paraId="00000046" w14:textId="34D1B8F2" w:rsidR="002C12BF" w:rsidRDefault="00DB1DAD">
      <w:pPr>
        <w:jc w:val="both"/>
        <w:rPr>
          <w:rFonts w:ascii="Palatino Linotype" w:eastAsia="Palatino Linotype" w:hAnsi="Palatino Linotype" w:cs="Palatino Linotype"/>
        </w:rPr>
      </w:pPr>
      <w:r>
        <w:rPr>
          <w:rFonts w:ascii="Palatino Linotype" w:eastAsia="Palatino Linotype" w:hAnsi="Palatino Linotype" w:cs="Palatino Linotype"/>
        </w:rPr>
        <w:t xml:space="preserve">4.3..Наредба за определяне на реда и размера за заплащане на продуктова такса (обн., ДВ, бр. 30 от 15.04.2016 г., в сила от 16.06.2016 г., изм. и доп. ДВ. бр.60 от 20 Юли 2018г.) </w:t>
      </w:r>
    </w:p>
    <w:p w14:paraId="00000047" w14:textId="77777777" w:rsidR="002C12BF" w:rsidRDefault="00DB1DAD">
      <w:pPr>
        <w:jc w:val="both"/>
        <w:rPr>
          <w:rFonts w:ascii="Palatino Linotype" w:eastAsia="Palatino Linotype" w:hAnsi="Palatino Linotype" w:cs="Palatino Linotype"/>
        </w:rPr>
      </w:pPr>
      <w:r>
        <w:rPr>
          <w:rFonts w:ascii="Palatino Linotype" w:eastAsia="Palatino Linotype" w:hAnsi="Palatino Linotype" w:cs="Palatino Linotype"/>
        </w:rPr>
        <w:t xml:space="preserve">Тази Наредба е относима към лицата, които пускат на пазара опаковани стоки, те следва да съставят месечна справка-декларация по приложение № 15 по Наредбата за заплащане на продуктова такса. Месечната справка-декларация по ал. 1 се съхранява от лицата, които пускат на пазара опаковани стоки, в срок 5 години от съставянето ѝ и се </w:t>
      </w:r>
      <w:r>
        <w:rPr>
          <w:rFonts w:ascii="Palatino Linotype" w:eastAsia="Palatino Linotype" w:hAnsi="Palatino Linotype" w:cs="Palatino Linotype"/>
        </w:rPr>
        <w:lastRenderedPageBreak/>
        <w:t>представя при поискване от компетентните органи. Продуктова такса се заплаща по сметката на Предприятие за управление на дейностите по опазване на околната среда (ПУДООС).</w:t>
      </w:r>
    </w:p>
    <w:p w14:paraId="00000048" w14:textId="599488FF" w:rsidR="002C12BF" w:rsidRDefault="00DB1DAD">
      <w:pPr>
        <w:jc w:val="both"/>
        <w:rPr>
          <w:rFonts w:ascii="Palatino Linotype" w:eastAsia="Palatino Linotype" w:hAnsi="Palatino Linotype" w:cs="Palatino Linotype"/>
        </w:rPr>
      </w:pPr>
      <w:r>
        <w:rPr>
          <w:rFonts w:ascii="Palatino Linotype" w:eastAsia="Palatino Linotype" w:hAnsi="Palatino Linotype" w:cs="Palatino Linotype"/>
        </w:rPr>
        <w:t>4.4. Наредба № 2/23.07.2014 г. за класификация на отпадъците (обн., ДВ, бр. 66 от 08.08.2014 г., изм. и доп., бр. 32 от 21.04.2017 г., изм. ДВ. бр. 46 от 01.06.2018 г.)</w:t>
      </w:r>
    </w:p>
    <w:p w14:paraId="00000049" w14:textId="77777777" w:rsidR="002C12BF" w:rsidRDefault="00DB1DAD">
      <w:pPr>
        <w:jc w:val="both"/>
        <w:rPr>
          <w:rFonts w:ascii="Palatino Linotype" w:eastAsia="Palatino Linotype" w:hAnsi="Palatino Linotype" w:cs="Palatino Linotype"/>
        </w:rPr>
      </w:pPr>
      <w:r>
        <w:rPr>
          <w:rFonts w:ascii="Palatino Linotype" w:eastAsia="Palatino Linotype" w:hAnsi="Palatino Linotype" w:cs="Palatino Linotype"/>
        </w:rPr>
        <w:t>С Наредбата се определят условията и редът за класификация на отпадъците по видове и свойства.Целта на наредбата е класифициране на отпадъците, осигуряващо екологосъобразното им управление в съответствие със Закона за управление на отпадъците (ЗУО) и подзаконовите нормативни актове по прилагането му.</w:t>
      </w:r>
    </w:p>
    <w:p w14:paraId="0000004A" w14:textId="4F07C733" w:rsidR="002C12BF" w:rsidRDefault="00F83D08">
      <w:pPr>
        <w:jc w:val="both"/>
        <w:rPr>
          <w:rFonts w:ascii="Palatino Linotype" w:eastAsia="Palatino Linotype" w:hAnsi="Palatino Linotype" w:cs="Palatino Linotype"/>
        </w:rPr>
      </w:pPr>
      <w:r>
        <w:rPr>
          <w:rFonts w:ascii="Palatino Linotype" w:eastAsia="Palatino Linotype" w:hAnsi="Palatino Linotype" w:cs="Palatino Linotype"/>
        </w:rPr>
        <w:t xml:space="preserve"> </w:t>
      </w:r>
      <w:r w:rsidR="00DB1DAD">
        <w:rPr>
          <w:rFonts w:ascii="Palatino Linotype" w:eastAsia="Palatino Linotype" w:hAnsi="Palatino Linotype" w:cs="Palatino Linotype"/>
        </w:rPr>
        <w:t>4.5. Наредба за излезлите от употреба моторни превозни средства (НИУМПС)</w:t>
      </w:r>
    </w:p>
    <w:p w14:paraId="0000004B" w14:textId="77777777" w:rsidR="002C12BF" w:rsidRDefault="00DB1DAD">
      <w:pPr>
        <w:jc w:val="both"/>
        <w:rPr>
          <w:rFonts w:ascii="Palatino Linotype" w:eastAsia="Palatino Linotype" w:hAnsi="Palatino Linotype" w:cs="Palatino Linotype"/>
        </w:rPr>
      </w:pPr>
      <w:r>
        <w:rPr>
          <w:rFonts w:ascii="Palatino Linotype" w:eastAsia="Palatino Linotype" w:hAnsi="Palatino Linotype" w:cs="Palatino Linotype"/>
        </w:rPr>
        <w:t>Съгласно чл. 12. Организацията по оползотворяване на ИУМПС изготвя програма по чл. 53, ал. 1 ЗУО, която включва поотделно за ИУМПС от категориите по чл. 2, ал. 1, т. 1 и 2 следната информация: 1. предварителен финансов разчет на системата за събиране, повторноизползване, оползотворяване и рециклиране на ИУМПС; 2. план, посочващ сроковете за сключване на договори с общини, които ще бъдат обслужвани от колективната система за събиране на ИУМПС;</w:t>
      </w:r>
    </w:p>
    <w:p w14:paraId="0000004C" w14:textId="4C5149F9" w:rsidR="002C12BF" w:rsidRDefault="00F83D08">
      <w:pPr>
        <w:jc w:val="both"/>
        <w:rPr>
          <w:rFonts w:ascii="Palatino Linotype" w:eastAsia="Palatino Linotype" w:hAnsi="Palatino Linotype" w:cs="Palatino Linotype"/>
        </w:rPr>
      </w:pPr>
      <w:r>
        <w:rPr>
          <w:rFonts w:ascii="Palatino Linotype" w:eastAsia="Palatino Linotype" w:hAnsi="Palatino Linotype" w:cs="Palatino Linotype"/>
        </w:rPr>
        <w:t xml:space="preserve"> </w:t>
      </w:r>
      <w:r w:rsidR="00DB1DAD">
        <w:rPr>
          <w:rFonts w:ascii="Palatino Linotype" w:eastAsia="Palatino Linotype" w:hAnsi="Palatino Linotype" w:cs="Palatino Linotype"/>
        </w:rPr>
        <w:t>4.6.Наредба за излязлото от употреба електрическо и електронно оборудване /НИУЕЕО/</w:t>
      </w:r>
    </w:p>
    <w:p w14:paraId="0000004D" w14:textId="77777777" w:rsidR="002C12BF" w:rsidRDefault="00DB1DAD">
      <w:pPr>
        <w:jc w:val="both"/>
        <w:rPr>
          <w:rFonts w:ascii="Palatino Linotype" w:eastAsia="Palatino Linotype" w:hAnsi="Palatino Linotype" w:cs="Palatino Linotype"/>
        </w:rPr>
      </w:pPr>
      <w:r>
        <w:rPr>
          <w:rFonts w:ascii="Palatino Linotype" w:eastAsia="Palatino Linotype" w:hAnsi="Palatino Linotype" w:cs="Palatino Linotype"/>
        </w:rPr>
        <w:t xml:space="preserve">Наредбата за ЕЕО осигурява пълно транспониране в българското законодателство на изискванията на Директива 2012/19/ЕС относно отпадъци от електрическо и електронно оборудване, на база ангажименти за хармонизиране на националната политика и законодателство в областта на управление на отпадъците с това на ЕС. Наредбата е издадена на основание чл.13, ал.1 на Закона за управление на отпадъците (ЗУО). Наредбата за ЕЕО е изцяло съобразена с въведените в ЗУО принципи на ЕС за покриване на разходите за разделно събиране, предварително третиране, оползотворяване и обезвреждане на отпадъци - “замърсителят плаща” и “отговорност на производителя”. Наредбата дава възможност на лицата, които пускат на пазара ЕЕО да изпълняват задълженията си индивидуално или чрез колективна система. </w:t>
      </w:r>
    </w:p>
    <w:p w14:paraId="0000004E" w14:textId="43A6B653" w:rsidR="002C12BF" w:rsidRDefault="00F83D08">
      <w:pPr>
        <w:jc w:val="both"/>
        <w:rPr>
          <w:rFonts w:ascii="Palatino Linotype" w:eastAsia="Palatino Linotype" w:hAnsi="Palatino Linotype" w:cs="Palatino Linotype"/>
        </w:rPr>
      </w:pPr>
      <w:r>
        <w:rPr>
          <w:rFonts w:ascii="Palatino Linotype" w:eastAsia="Palatino Linotype" w:hAnsi="Palatino Linotype" w:cs="Palatino Linotype"/>
        </w:rPr>
        <w:t xml:space="preserve"> </w:t>
      </w:r>
      <w:r w:rsidR="00DB1DAD">
        <w:rPr>
          <w:rFonts w:ascii="Palatino Linotype" w:eastAsia="Palatino Linotype" w:hAnsi="Palatino Linotype" w:cs="Palatino Linotype"/>
        </w:rPr>
        <w:t>4.7.Наредба за определяне на реда и размера за заплащане на продуктова такса за продукти, след употребата на които се образуват масово разпространени отпадъци</w:t>
      </w:r>
    </w:p>
    <w:p w14:paraId="0000004F" w14:textId="216B3E94" w:rsidR="002C12BF" w:rsidRDefault="00F83D08">
      <w:pPr>
        <w:jc w:val="both"/>
        <w:rPr>
          <w:rFonts w:ascii="Palatino Linotype" w:eastAsia="Palatino Linotype" w:hAnsi="Palatino Linotype" w:cs="Palatino Linotype"/>
        </w:rPr>
      </w:pPr>
      <w:r>
        <w:rPr>
          <w:rFonts w:ascii="Palatino Linotype" w:eastAsia="Palatino Linotype" w:hAnsi="Palatino Linotype" w:cs="Palatino Linotype"/>
        </w:rPr>
        <w:t xml:space="preserve"> </w:t>
      </w:r>
      <w:r w:rsidR="00DB1DAD">
        <w:rPr>
          <w:rFonts w:ascii="Palatino Linotype" w:eastAsia="Palatino Linotype" w:hAnsi="Palatino Linotype" w:cs="Palatino Linotype"/>
        </w:rPr>
        <w:t>4.8.Наредба за батерии и акумулатори и за негодни за употреба батерии и акумулатори.</w:t>
      </w:r>
    </w:p>
    <w:p w14:paraId="00000050" w14:textId="77777777" w:rsidR="002C12BF" w:rsidRDefault="00DB1DAD">
      <w:pPr>
        <w:jc w:val="both"/>
        <w:rPr>
          <w:rFonts w:ascii="Palatino Linotype" w:eastAsia="Palatino Linotype" w:hAnsi="Palatino Linotype" w:cs="Palatino Linotype"/>
        </w:rPr>
      </w:pPr>
      <w:r>
        <w:rPr>
          <w:rFonts w:ascii="Palatino Linotype" w:eastAsia="Palatino Linotype" w:hAnsi="Palatino Linotype" w:cs="Palatino Linotype"/>
        </w:rPr>
        <w:t>С наредбата се определят изискванията за пускането на пазара на батерии и акумулатори и за разделното събиране, транспортирането, съхраняването, предварителното третиране, рециклирането, оползотворяването и/или обезвреждането на негодни за употреба батерии и акумулатори (НУБА).</w:t>
      </w:r>
    </w:p>
    <w:p w14:paraId="00000051" w14:textId="7D83E348" w:rsidR="002C12BF" w:rsidRDefault="00F83D08">
      <w:pPr>
        <w:jc w:val="both"/>
        <w:rPr>
          <w:rFonts w:ascii="Palatino Linotype" w:eastAsia="Palatino Linotype" w:hAnsi="Palatino Linotype" w:cs="Palatino Linotype"/>
        </w:rPr>
      </w:pPr>
      <w:r>
        <w:rPr>
          <w:rFonts w:ascii="Palatino Linotype" w:eastAsia="Palatino Linotype" w:hAnsi="Palatino Linotype" w:cs="Palatino Linotype"/>
        </w:rPr>
        <w:t xml:space="preserve"> </w:t>
      </w:r>
      <w:r w:rsidR="00DB1DAD">
        <w:rPr>
          <w:rFonts w:ascii="Palatino Linotype" w:eastAsia="Palatino Linotype" w:hAnsi="Palatino Linotype" w:cs="Palatino Linotype"/>
        </w:rPr>
        <w:t>4.9. Наредба за отработените масла и отпадъчните нефтопродукти;</w:t>
      </w:r>
    </w:p>
    <w:p w14:paraId="00000052" w14:textId="7D0638C4" w:rsidR="002C12BF" w:rsidRDefault="00DB1DAD">
      <w:pPr>
        <w:jc w:val="both"/>
        <w:rPr>
          <w:rFonts w:ascii="Palatino Linotype" w:eastAsia="Palatino Linotype" w:hAnsi="Palatino Linotype" w:cs="Palatino Linotype"/>
        </w:rPr>
      </w:pPr>
      <w:r>
        <w:rPr>
          <w:rFonts w:ascii="Palatino Linotype" w:eastAsia="Palatino Linotype" w:hAnsi="Palatino Linotype" w:cs="Palatino Linotype"/>
        </w:rPr>
        <w:lastRenderedPageBreak/>
        <w:t>4.10. Наредба за изискванията за третиране на излезли от употреба гуми;</w:t>
      </w:r>
    </w:p>
    <w:p w14:paraId="00000053" w14:textId="5E4CA3C4" w:rsidR="002C12BF" w:rsidRDefault="00DB1DAD">
      <w:pPr>
        <w:jc w:val="both"/>
        <w:rPr>
          <w:rFonts w:ascii="Palatino Linotype" w:eastAsia="Palatino Linotype" w:hAnsi="Palatino Linotype" w:cs="Palatino Linotype"/>
        </w:rPr>
      </w:pPr>
      <w:r>
        <w:rPr>
          <w:rFonts w:ascii="Palatino Linotype" w:eastAsia="Palatino Linotype" w:hAnsi="Palatino Linotype" w:cs="Palatino Linotype"/>
        </w:rPr>
        <w:t>4.11. Наредба № 9 от 28 септември 2004 г. за реда и образците, по които се предоставя информация за дейностите по отпадъците, както и реда за водене на публичния регистър на издадените разрешения, регистрационните документи и на закритите обекти и дейности;</w:t>
      </w:r>
    </w:p>
    <w:p w14:paraId="00000054" w14:textId="74913329" w:rsidR="002C12BF" w:rsidRDefault="00F83D08">
      <w:pPr>
        <w:jc w:val="both"/>
        <w:rPr>
          <w:rFonts w:ascii="Palatino Linotype" w:eastAsia="Palatino Linotype" w:hAnsi="Palatino Linotype" w:cs="Palatino Linotype"/>
        </w:rPr>
      </w:pPr>
      <w:r>
        <w:rPr>
          <w:rFonts w:ascii="Palatino Linotype" w:eastAsia="Palatino Linotype" w:hAnsi="Palatino Linotype" w:cs="Palatino Linotype"/>
        </w:rPr>
        <w:t xml:space="preserve"> </w:t>
      </w:r>
      <w:r w:rsidR="00DB1DAD">
        <w:rPr>
          <w:rFonts w:ascii="Palatino Linotype" w:eastAsia="Palatino Linotype" w:hAnsi="Palatino Linotype" w:cs="Palatino Linotype"/>
        </w:rPr>
        <w:t>4.12.Наредба за управление на строителните отпадъци и за влагане на рециклирани строителни материали;</w:t>
      </w:r>
    </w:p>
    <w:p w14:paraId="00000055" w14:textId="591F845C" w:rsidR="002C12BF" w:rsidRDefault="00DB1DAD">
      <w:pPr>
        <w:jc w:val="both"/>
        <w:rPr>
          <w:rFonts w:ascii="Palatino Linotype" w:eastAsia="Palatino Linotype" w:hAnsi="Palatino Linotype" w:cs="Palatino Linotype"/>
        </w:rPr>
      </w:pPr>
      <w:r>
        <w:rPr>
          <w:rFonts w:ascii="Palatino Linotype" w:eastAsia="Palatino Linotype" w:hAnsi="Palatino Linotype" w:cs="Palatino Linotype"/>
        </w:rPr>
        <w:t>4.13. Наредба № 7 за изискванията, на които трябва да отговарят площадките за разполагане на съоръжения за третиране на отпадъци;</w:t>
      </w:r>
    </w:p>
    <w:p w14:paraId="00000056" w14:textId="4985EAE8" w:rsidR="002C12BF" w:rsidRDefault="00F83D08">
      <w:pPr>
        <w:jc w:val="both"/>
        <w:rPr>
          <w:rFonts w:ascii="Palatino Linotype" w:eastAsia="Palatino Linotype" w:hAnsi="Palatino Linotype" w:cs="Palatino Linotype"/>
        </w:rPr>
      </w:pPr>
      <w:r>
        <w:rPr>
          <w:rFonts w:ascii="Palatino Linotype" w:eastAsia="Palatino Linotype" w:hAnsi="Palatino Linotype" w:cs="Palatino Linotype"/>
        </w:rPr>
        <w:t xml:space="preserve"> </w:t>
      </w:r>
      <w:r w:rsidR="00DB1DAD">
        <w:rPr>
          <w:rFonts w:ascii="Palatino Linotype" w:eastAsia="Palatino Linotype" w:hAnsi="Palatino Linotype" w:cs="Palatino Linotype"/>
        </w:rPr>
        <w:t>4.14. Наредба № 6 за условията и изискванията за изграждане и експлоатация на депа и на други съоръжения и инсталации за оползотворяване и обезвреждане на отпадъци;</w:t>
      </w:r>
    </w:p>
    <w:p w14:paraId="00000057" w14:textId="37E0F191" w:rsidR="002C12BF" w:rsidRDefault="00DB1DAD">
      <w:pPr>
        <w:jc w:val="both"/>
        <w:rPr>
          <w:rFonts w:ascii="Palatino Linotype" w:eastAsia="Palatino Linotype" w:hAnsi="Palatino Linotype" w:cs="Palatino Linotype"/>
        </w:rPr>
      </w:pPr>
      <w:r>
        <w:rPr>
          <w:rFonts w:ascii="Palatino Linotype" w:eastAsia="Palatino Linotype" w:hAnsi="Palatino Linotype" w:cs="Palatino Linotype"/>
        </w:rPr>
        <w:t>4.15.Наредба № 3 от 05.08.2014 г. за изискванията за реда и начина за инвентаризация на оборудване, съдържащо полихлорирани бифенили, маркирането и почистването му, както и за третирането и транспортирането на отпадъци, съдържащи полихлорирани бифенили (издадена от министъра на околната среда и водите, обн., ДВ, бр. 70 от 22.08.2014 г.);</w:t>
      </w:r>
    </w:p>
    <w:p w14:paraId="00000058" w14:textId="173FABAC" w:rsidR="002C12BF" w:rsidRDefault="00DB1DAD">
      <w:pPr>
        <w:jc w:val="both"/>
        <w:rPr>
          <w:rFonts w:ascii="Palatino Linotype" w:eastAsia="Palatino Linotype" w:hAnsi="Palatino Linotype" w:cs="Palatino Linotype"/>
        </w:rPr>
      </w:pPr>
      <w:r>
        <w:rPr>
          <w:rFonts w:ascii="Palatino Linotype" w:eastAsia="Palatino Linotype" w:hAnsi="Palatino Linotype" w:cs="Palatino Linotype"/>
        </w:rPr>
        <w:t>4.16. НАРЕДБА № 7 от 19.12.2013 г. за реда и начина за изчисляване и определяне размера на обезпеченията и отчисленията, изисквани при депониране на отпадъци;</w:t>
      </w:r>
    </w:p>
    <w:p w14:paraId="00000059" w14:textId="7CB05EF6" w:rsidR="002C12BF" w:rsidRDefault="00DB1DAD">
      <w:pPr>
        <w:jc w:val="both"/>
        <w:rPr>
          <w:rFonts w:ascii="Palatino Linotype" w:eastAsia="Palatino Linotype" w:hAnsi="Palatino Linotype" w:cs="Palatino Linotype"/>
        </w:rPr>
      </w:pPr>
      <w:r>
        <w:rPr>
          <w:rFonts w:ascii="Palatino Linotype" w:eastAsia="Palatino Linotype" w:hAnsi="Palatino Linotype" w:cs="Palatino Linotype"/>
        </w:rPr>
        <w:t>4.17. Наредба № 6 за условията и изискванията за изграждане и експлоатация на депа и на други съоръжения и инсталации за оползотворяване и обезвреждане на отпадъци;</w:t>
      </w:r>
    </w:p>
    <w:p w14:paraId="0000005A" w14:textId="659D1236" w:rsidR="002C12BF" w:rsidRDefault="00F83D08">
      <w:pPr>
        <w:jc w:val="both"/>
        <w:rPr>
          <w:rFonts w:ascii="Palatino Linotype" w:eastAsia="Palatino Linotype" w:hAnsi="Palatino Linotype" w:cs="Palatino Linotype"/>
        </w:rPr>
      </w:pPr>
      <w:r>
        <w:rPr>
          <w:rFonts w:ascii="Palatino Linotype" w:eastAsia="Palatino Linotype" w:hAnsi="Palatino Linotype" w:cs="Palatino Linotype"/>
        </w:rPr>
        <w:t xml:space="preserve"> </w:t>
      </w:r>
      <w:r w:rsidR="00DB1DAD">
        <w:rPr>
          <w:rFonts w:ascii="Palatino Linotype" w:eastAsia="Palatino Linotype" w:hAnsi="Palatino Linotype" w:cs="Palatino Linotype"/>
        </w:rPr>
        <w:t>4.18. Наредба № 14 от 15.11.2010 г. за реда и начина за изчисляване на размера на отчисленията и разходване на събраните средства за дейностите по закриване и следексплоатационни грижи на площадките на депата за отпадъци;</w:t>
      </w:r>
    </w:p>
    <w:p w14:paraId="0000005C" w14:textId="4BB350A3" w:rsidR="002C12BF" w:rsidRDefault="00DB1DAD">
      <w:pPr>
        <w:jc w:val="both"/>
        <w:rPr>
          <w:rFonts w:ascii="Palatino Linotype" w:eastAsia="Palatino Linotype" w:hAnsi="Palatino Linotype" w:cs="Palatino Linotype"/>
        </w:rPr>
      </w:pPr>
      <w:r>
        <w:rPr>
          <w:rFonts w:ascii="Palatino Linotype" w:eastAsia="Palatino Linotype" w:hAnsi="Palatino Linotype" w:cs="Palatino Linotype"/>
        </w:rPr>
        <w:t>4.19.Наредба № 4 за условията и изискванията за изграждането и експлоатацията на инсталации за изгаряне и инсталации за съвместно изгаряне на отпадъци (обн. ДВ, бр. 36 от 2013 г., изм. и доп. ДВ. бр. 82 от 5 октомври 2018 г.).</w:t>
      </w:r>
      <w:bookmarkStart w:id="0" w:name="_GoBack"/>
      <w:bookmarkEnd w:id="0"/>
    </w:p>
    <w:p w14:paraId="0000005D" w14:textId="77777777" w:rsidR="002C12BF" w:rsidRDefault="00DB1DAD">
      <w:pPr>
        <w:jc w:val="both"/>
        <w:rPr>
          <w:rFonts w:ascii="Palatino Linotype" w:eastAsia="Palatino Linotype" w:hAnsi="Palatino Linotype" w:cs="Palatino Linotype"/>
          <w:b/>
          <w:u w:val="single"/>
        </w:rPr>
      </w:pPr>
      <w:r>
        <w:rPr>
          <w:rFonts w:ascii="Palatino Linotype" w:eastAsia="Palatino Linotype" w:hAnsi="Palatino Linotype" w:cs="Palatino Linotype"/>
          <w:b/>
          <w:u w:val="single"/>
        </w:rPr>
        <w:t>5. Наредби на общинско ниво.</w:t>
      </w:r>
    </w:p>
    <w:p w14:paraId="0000005E" w14:textId="77777777" w:rsidR="002C12BF" w:rsidRDefault="00DB1DAD">
      <w:pPr>
        <w:jc w:val="both"/>
        <w:rPr>
          <w:rFonts w:ascii="Palatino Linotype" w:eastAsia="Palatino Linotype" w:hAnsi="Palatino Linotype" w:cs="Palatino Linotype"/>
        </w:rPr>
      </w:pPr>
      <w:r>
        <w:rPr>
          <w:rFonts w:ascii="Palatino Linotype" w:eastAsia="Palatino Linotype" w:hAnsi="Palatino Linotype" w:cs="Palatino Linotype"/>
        </w:rPr>
        <w:t>5.1. НАРЕДБА за управление на отпадъците и поддържане и опазване на чистотата на територията на Столична община;</w:t>
      </w:r>
    </w:p>
    <w:p w14:paraId="0000005F" w14:textId="77777777" w:rsidR="002C12BF" w:rsidRDefault="00DB1DAD">
      <w:pPr>
        <w:jc w:val="both"/>
        <w:rPr>
          <w:rFonts w:ascii="Palatino Linotype" w:eastAsia="Palatino Linotype" w:hAnsi="Palatino Linotype" w:cs="Palatino Linotype"/>
        </w:rPr>
      </w:pPr>
      <w:r>
        <w:rPr>
          <w:rFonts w:ascii="Palatino Linotype" w:eastAsia="Palatino Linotype" w:hAnsi="Palatino Linotype" w:cs="Palatino Linotype"/>
        </w:rPr>
        <w:t>5.2. НАРЕДБА за определяне и администриране на местни такси и цени на услуги, предоставяни от Столична община;</w:t>
      </w:r>
    </w:p>
    <w:p w14:paraId="00000060" w14:textId="77777777" w:rsidR="002C12BF" w:rsidRDefault="00DB1DAD">
      <w:pPr>
        <w:jc w:val="both"/>
        <w:rPr>
          <w:rFonts w:ascii="Palatino Linotype" w:eastAsia="Palatino Linotype" w:hAnsi="Palatino Linotype" w:cs="Palatino Linotype"/>
        </w:rPr>
      </w:pPr>
      <w:r>
        <w:rPr>
          <w:rFonts w:ascii="Palatino Linotype" w:eastAsia="Palatino Linotype" w:hAnsi="Palatino Linotype" w:cs="Palatino Linotype"/>
        </w:rPr>
        <w:t>5.3. НАРЕДБА за условията и реда за провеждане на търгове и конкурси;</w:t>
      </w:r>
    </w:p>
    <w:p w14:paraId="00000061" w14:textId="77777777" w:rsidR="002C12BF" w:rsidRDefault="00DB1DAD">
      <w:pPr>
        <w:jc w:val="both"/>
        <w:rPr>
          <w:rFonts w:ascii="Palatino Linotype" w:eastAsia="Palatino Linotype" w:hAnsi="Palatino Linotype" w:cs="Palatino Linotype"/>
        </w:rPr>
      </w:pPr>
      <w:r>
        <w:rPr>
          <w:rFonts w:ascii="Palatino Linotype" w:eastAsia="Palatino Linotype" w:hAnsi="Palatino Linotype" w:cs="Palatino Linotype"/>
        </w:rPr>
        <w:lastRenderedPageBreak/>
        <w:t>5.4. НАРЕДБА на Столичния общински съвет по принудителното отчуждаване на имоти - частна собственост за общински нужди;</w:t>
      </w:r>
    </w:p>
    <w:p w14:paraId="00000062" w14:textId="77777777" w:rsidR="002C12BF" w:rsidRDefault="00DB1DAD">
      <w:pPr>
        <w:jc w:val="both"/>
        <w:rPr>
          <w:rFonts w:ascii="Palatino Linotype" w:eastAsia="Palatino Linotype" w:hAnsi="Palatino Linotype" w:cs="Palatino Linotype"/>
        </w:rPr>
      </w:pPr>
      <w:r>
        <w:rPr>
          <w:rFonts w:ascii="Palatino Linotype" w:eastAsia="Palatino Linotype" w:hAnsi="Palatino Linotype" w:cs="Palatino Linotype"/>
        </w:rPr>
        <w:t>5.5. НАРЕДБА за обществения ред на територията на Столична община;</w:t>
      </w:r>
    </w:p>
    <w:p w14:paraId="00000063" w14:textId="77777777" w:rsidR="002C12BF" w:rsidRDefault="00DB1DAD">
      <w:pPr>
        <w:jc w:val="both"/>
        <w:rPr>
          <w:rFonts w:ascii="Palatino Linotype" w:eastAsia="Palatino Linotype" w:hAnsi="Palatino Linotype" w:cs="Palatino Linotype"/>
        </w:rPr>
      </w:pPr>
      <w:r>
        <w:rPr>
          <w:rFonts w:ascii="Palatino Linotype" w:eastAsia="Palatino Linotype" w:hAnsi="Palatino Linotype" w:cs="Palatino Linotype"/>
        </w:rPr>
        <w:t>5.6. НАРЕДБА за преместваемите обекти, за рекламните, информационните и монументално-декоративните елементи и за рекламната дейност на територията на Столична община;</w:t>
      </w:r>
    </w:p>
    <w:p w14:paraId="00000064" w14:textId="77777777" w:rsidR="002C12BF" w:rsidRDefault="00DB1DAD">
      <w:pPr>
        <w:jc w:val="both"/>
        <w:rPr>
          <w:rFonts w:ascii="Palatino Linotype" w:eastAsia="Palatino Linotype" w:hAnsi="Palatino Linotype" w:cs="Palatino Linotype"/>
        </w:rPr>
      </w:pPr>
      <w:r>
        <w:rPr>
          <w:rFonts w:ascii="Palatino Linotype" w:eastAsia="Palatino Linotype" w:hAnsi="Palatino Linotype" w:cs="Palatino Linotype"/>
        </w:rPr>
        <w:t>5.7. НАРЕДБА за организация на движението на територията на Столична община;</w:t>
      </w:r>
    </w:p>
    <w:p w14:paraId="00000065" w14:textId="77777777" w:rsidR="002C12BF" w:rsidRDefault="00DB1DAD">
      <w:pPr>
        <w:jc w:val="both"/>
        <w:rPr>
          <w:rFonts w:ascii="Palatino Linotype" w:eastAsia="Palatino Linotype" w:hAnsi="Palatino Linotype" w:cs="Palatino Linotype"/>
        </w:rPr>
      </w:pPr>
      <w:r>
        <w:rPr>
          <w:rFonts w:ascii="Palatino Linotype" w:eastAsia="Palatino Linotype" w:hAnsi="Palatino Linotype" w:cs="Palatino Linotype"/>
        </w:rPr>
        <w:t>5.8. Наредба за общинската собственост;</w:t>
      </w:r>
    </w:p>
    <w:p w14:paraId="00000066" w14:textId="77777777" w:rsidR="002C12BF" w:rsidRDefault="00DB1DAD">
      <w:pPr>
        <w:jc w:val="both"/>
        <w:rPr>
          <w:rFonts w:ascii="Palatino Linotype" w:eastAsia="Palatino Linotype" w:hAnsi="Palatino Linotype" w:cs="Palatino Linotype"/>
        </w:rPr>
      </w:pPr>
      <w:r>
        <w:rPr>
          <w:rFonts w:ascii="Palatino Linotype" w:eastAsia="Palatino Linotype" w:hAnsi="Palatino Linotype" w:cs="Palatino Linotype"/>
        </w:rPr>
        <w:t xml:space="preserve">5.9. Наредба за принудителното изпълнение на заповеди по чл. 195, ал. 4, ал. 5 и ал. 6 от ЗУТ за поправяне, заздравяване или премахване на строежи или части от тях и заповеди по чл. 225 а, ал. 1 от ЗУТ за премахване на незаконни строежи или части от тях от органите на Столична община.          </w:t>
      </w:r>
    </w:p>
    <w:p w14:paraId="00000067" w14:textId="77777777" w:rsidR="002C12BF" w:rsidRDefault="002C12BF">
      <w:pPr>
        <w:jc w:val="both"/>
        <w:rPr>
          <w:rFonts w:ascii="Palatino Linotype" w:eastAsia="Palatino Linotype" w:hAnsi="Palatino Linotype" w:cs="Palatino Linotype"/>
        </w:rPr>
      </w:pPr>
    </w:p>
    <w:p w14:paraId="00000068" w14:textId="77777777" w:rsidR="002C12BF" w:rsidRDefault="002C12BF">
      <w:pPr>
        <w:jc w:val="both"/>
        <w:rPr>
          <w:rFonts w:ascii="Palatino Linotype" w:eastAsia="Palatino Linotype" w:hAnsi="Palatino Linotype" w:cs="Palatino Linotype"/>
        </w:rPr>
      </w:pPr>
    </w:p>
    <w:p w14:paraId="00000069" w14:textId="77777777" w:rsidR="002C12BF" w:rsidRDefault="002C12BF">
      <w:pPr>
        <w:jc w:val="both"/>
        <w:rPr>
          <w:rFonts w:ascii="Palatino Linotype" w:eastAsia="Palatino Linotype" w:hAnsi="Palatino Linotype" w:cs="Palatino Linotype"/>
        </w:rPr>
      </w:pPr>
    </w:p>
    <w:p w14:paraId="0000006A" w14:textId="77777777" w:rsidR="002C12BF" w:rsidRDefault="002C12BF">
      <w:pPr>
        <w:jc w:val="both"/>
        <w:rPr>
          <w:rFonts w:ascii="Palatino Linotype" w:eastAsia="Palatino Linotype" w:hAnsi="Palatino Linotype" w:cs="Palatino Linotype"/>
        </w:rPr>
      </w:pPr>
    </w:p>
    <w:p w14:paraId="0000006B" w14:textId="77777777" w:rsidR="002C12BF" w:rsidRDefault="002C12BF">
      <w:pPr>
        <w:jc w:val="both"/>
        <w:rPr>
          <w:rFonts w:ascii="Palatino Linotype" w:eastAsia="Palatino Linotype" w:hAnsi="Palatino Linotype" w:cs="Palatino Linotype"/>
        </w:rPr>
      </w:pPr>
    </w:p>
    <w:sectPr w:rsidR="002C12BF">
      <w:pgSz w:w="12240" w:h="15840"/>
      <w:pgMar w:top="1440" w:right="1440" w:bottom="1440" w:left="170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DC003C"/>
    <w:multiLevelType w:val="multilevel"/>
    <w:tmpl w:val="3B72E8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2BF"/>
    <w:rsid w:val="002C12BF"/>
    <w:rsid w:val="00DB1DAD"/>
    <w:rsid w:val="00F83D0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E8AE54"/>
  <w15:docId w15:val="{E0DC3DF5-C0A1-440A-BE6D-DB17A48F1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bg-BG" w:eastAsia="bg-BG"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E31497"/>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lOfrzKhpqIt21XlAWumfjz34Sg==">AMUW2mU3IuKVCMHgHyl1pm69Hgp+ioiKvnesI+A1j2GcTeOoAGcKAnCArXPHhLTu1/50pHzPMmAXeoyeXmRMu/BE/dC0zumAyj2HiYcrnAs3zkmgt3Ou1Mo=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4836</Words>
  <Characters>27571</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Eko</cp:lastModifiedBy>
  <cp:revision>3</cp:revision>
  <dcterms:created xsi:type="dcterms:W3CDTF">2022-02-21T10:15:00Z</dcterms:created>
  <dcterms:modified xsi:type="dcterms:W3CDTF">2022-06-06T12:04:00Z</dcterms:modified>
</cp:coreProperties>
</file>